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862D52" w:rsidRPr="004D7E5F" w:rsidRDefault="008A6A16" w:rsidP="00086132">
      <w:pPr>
        <w:rPr>
          <w:rFonts w:ascii="Arial" w:eastAsia="Arial" w:hAnsi="Arial" w:cs="Arial"/>
          <w:b/>
          <w:sz w:val="36"/>
          <w:szCs w:val="36"/>
        </w:rPr>
      </w:pPr>
      <w:bookmarkStart w:id="0" w:name="_heading=h.gjdgxs" w:colFirst="0" w:colLast="0"/>
      <w:bookmarkEnd w:id="0"/>
      <w:r w:rsidRPr="004D7E5F">
        <w:rPr>
          <w:rFonts w:ascii="Arial" w:eastAsia="Arial" w:hAnsi="Arial" w:cs="Arial"/>
          <w:b/>
          <w:sz w:val="36"/>
          <w:szCs w:val="36"/>
        </w:rPr>
        <w:t>Schedule 2 (Specification)</w:t>
      </w:r>
    </w:p>
    <w:p w14:paraId="00000002" w14:textId="77777777" w:rsidR="00862D52" w:rsidRPr="004D7E5F" w:rsidRDefault="008A6A16">
      <w:pPr>
        <w:pBdr>
          <w:top w:val="nil"/>
          <w:left w:val="nil"/>
          <w:bottom w:val="nil"/>
          <w:right w:val="nil"/>
          <w:between w:val="nil"/>
        </w:pBdr>
        <w:tabs>
          <w:tab w:val="left" w:pos="709"/>
        </w:tabs>
        <w:spacing w:before="120" w:after="120" w:line="240" w:lineRule="auto"/>
        <w:rPr>
          <w:rFonts w:ascii="Arial" w:eastAsia="Arial" w:hAnsi="Arial" w:cs="Arial"/>
          <w:color w:val="000000"/>
          <w:sz w:val="24"/>
          <w:szCs w:val="24"/>
        </w:rPr>
      </w:pPr>
      <w:r w:rsidRPr="004D7E5F">
        <w:rPr>
          <w:rFonts w:ascii="Arial" w:eastAsia="Arial" w:hAnsi="Arial" w:cs="Arial"/>
          <w:color w:val="000000"/>
          <w:sz w:val="24"/>
          <w:szCs w:val="24"/>
        </w:rPr>
        <w:t>This Schedule sets out what the Buyer wants.</w:t>
      </w:r>
    </w:p>
    <w:p w14:paraId="00000003" w14:textId="77777777" w:rsidR="00862D52" w:rsidRDefault="008A6A16">
      <w:pPr>
        <w:pBdr>
          <w:top w:val="nil"/>
          <w:left w:val="nil"/>
          <w:bottom w:val="nil"/>
          <w:right w:val="nil"/>
          <w:between w:val="nil"/>
        </w:pBdr>
        <w:tabs>
          <w:tab w:val="left" w:pos="709"/>
        </w:tabs>
        <w:spacing w:before="120" w:after="120" w:line="240" w:lineRule="auto"/>
        <w:rPr>
          <w:rFonts w:ascii="Arial" w:eastAsia="Arial" w:hAnsi="Arial" w:cs="Arial"/>
          <w:color w:val="000000"/>
          <w:sz w:val="24"/>
          <w:szCs w:val="24"/>
        </w:rPr>
      </w:pPr>
      <w:r w:rsidRPr="004D7E5F">
        <w:rPr>
          <w:rFonts w:ascii="Arial" w:eastAsia="Arial" w:hAnsi="Arial" w:cs="Arial"/>
          <w:color w:val="000000"/>
          <w:sz w:val="24"/>
          <w:szCs w:val="24"/>
        </w:rPr>
        <w:t>For all Deliverables, the Supplier must help the Buyer comply with any specific applicable Standards of the Buyer.</w:t>
      </w:r>
    </w:p>
    <w:p w14:paraId="34C8B906" w14:textId="77777777" w:rsidR="009A5F9A" w:rsidRPr="004D7E5F" w:rsidRDefault="009A5F9A">
      <w:pPr>
        <w:pBdr>
          <w:top w:val="nil"/>
          <w:left w:val="nil"/>
          <w:bottom w:val="nil"/>
          <w:right w:val="nil"/>
          <w:between w:val="nil"/>
        </w:pBdr>
        <w:tabs>
          <w:tab w:val="left" w:pos="709"/>
        </w:tabs>
        <w:spacing w:before="120" w:after="120" w:line="240" w:lineRule="auto"/>
        <w:rPr>
          <w:rFonts w:ascii="Arial" w:eastAsia="Arial" w:hAnsi="Arial" w:cs="Arial"/>
          <w:color w:val="000000"/>
          <w:sz w:val="24"/>
          <w:szCs w:val="24"/>
        </w:rPr>
      </w:pPr>
    </w:p>
    <w:p w14:paraId="00000006" w14:textId="78C85FAF" w:rsidR="00862D52" w:rsidRDefault="00E05E24" w:rsidP="00433FA5">
      <w:pPr>
        <w:keepNext/>
        <w:pBdr>
          <w:top w:val="nil"/>
          <w:left w:val="nil"/>
          <w:bottom w:val="nil"/>
          <w:right w:val="nil"/>
          <w:between w:val="nil"/>
        </w:pBdr>
        <w:tabs>
          <w:tab w:val="left" w:pos="709"/>
        </w:tabs>
        <w:spacing w:before="120" w:after="120" w:line="240" w:lineRule="auto"/>
        <w:rPr>
          <w:rFonts w:ascii="Arial" w:eastAsia="Arial" w:hAnsi="Arial" w:cs="Arial"/>
          <w:color w:val="000000"/>
          <w:sz w:val="24"/>
          <w:szCs w:val="24"/>
        </w:rPr>
      </w:pPr>
      <w:bookmarkStart w:id="1" w:name="_heading=h.30j0zll" w:colFirst="0" w:colLast="0"/>
      <w:bookmarkEnd w:id="1"/>
      <w:r w:rsidRPr="004D7E5F">
        <w:rPr>
          <w:rFonts w:ascii="Arial" w:eastAsia="Arial" w:hAnsi="Arial" w:cs="Arial"/>
          <w:color w:val="000000"/>
          <w:sz w:val="24"/>
          <w:szCs w:val="24"/>
        </w:rPr>
        <w:t xml:space="preserve">The Buyer's </w:t>
      </w:r>
      <w:r w:rsidR="008A6A16" w:rsidRPr="004D7E5F">
        <w:rPr>
          <w:rFonts w:ascii="Arial" w:eastAsia="Arial" w:hAnsi="Arial" w:cs="Arial"/>
          <w:color w:val="000000"/>
          <w:sz w:val="24"/>
          <w:szCs w:val="24"/>
        </w:rPr>
        <w:t>social value priorities</w:t>
      </w:r>
    </w:p>
    <w:p w14:paraId="1F50B9CE" w14:textId="77777777" w:rsidR="009A5F9A" w:rsidRPr="004D7E5F" w:rsidRDefault="009A5F9A" w:rsidP="00433FA5">
      <w:pPr>
        <w:keepNext/>
        <w:pBdr>
          <w:top w:val="nil"/>
          <w:left w:val="nil"/>
          <w:bottom w:val="nil"/>
          <w:right w:val="nil"/>
          <w:between w:val="nil"/>
        </w:pBdr>
        <w:tabs>
          <w:tab w:val="left" w:pos="709"/>
        </w:tabs>
        <w:spacing w:before="120" w:after="120" w:line="240" w:lineRule="auto"/>
        <w:rPr>
          <w:rFonts w:ascii="Arial" w:eastAsia="Arial" w:hAnsi="Arial" w:cs="Arial"/>
          <w:color w:val="000000"/>
          <w:sz w:val="24"/>
          <w:szCs w:val="24"/>
        </w:rPr>
      </w:pPr>
    </w:p>
    <w:p w14:paraId="0000000A" w14:textId="6C3CEC42" w:rsidR="00862D52" w:rsidRPr="004D7E5F" w:rsidRDefault="008A6A16" w:rsidP="00433FA5">
      <w:pPr>
        <w:keepNext/>
        <w:pBdr>
          <w:top w:val="nil"/>
          <w:left w:val="nil"/>
          <w:bottom w:val="nil"/>
          <w:right w:val="nil"/>
          <w:between w:val="nil"/>
        </w:pBdr>
        <w:tabs>
          <w:tab w:val="left" w:pos="709"/>
        </w:tabs>
        <w:spacing w:before="120" w:after="120" w:line="240" w:lineRule="auto"/>
        <w:rPr>
          <w:rFonts w:ascii="Arial" w:eastAsia="Arial" w:hAnsi="Arial" w:cs="Arial"/>
          <w:color w:val="222222"/>
          <w:sz w:val="24"/>
          <w:szCs w:val="24"/>
        </w:rPr>
      </w:pPr>
      <w:r w:rsidRPr="004D7E5F">
        <w:rPr>
          <w:rFonts w:ascii="Arial" w:eastAsia="Arial" w:hAnsi="Arial" w:cs="Arial"/>
          <w:color w:val="222222"/>
          <w:sz w:val="24"/>
          <w:szCs w:val="24"/>
        </w:rPr>
        <w:t xml:space="preserve">These are </w:t>
      </w:r>
      <w:r w:rsidR="00E05E24" w:rsidRPr="004D7E5F">
        <w:rPr>
          <w:rFonts w:ascii="Arial" w:eastAsia="Arial" w:hAnsi="Arial" w:cs="Arial"/>
          <w:color w:val="222222"/>
          <w:sz w:val="24"/>
          <w:szCs w:val="24"/>
        </w:rPr>
        <w:t xml:space="preserve">the Buyer's </w:t>
      </w:r>
      <w:r w:rsidRPr="004D7E5F">
        <w:rPr>
          <w:rFonts w:ascii="Arial" w:eastAsia="Arial" w:hAnsi="Arial" w:cs="Arial"/>
          <w:color w:val="222222"/>
          <w:sz w:val="24"/>
          <w:szCs w:val="24"/>
        </w:rPr>
        <w:t>priorities in this procurement:</w:t>
      </w:r>
    </w:p>
    <w:p w14:paraId="0000000C" w14:textId="18F82332" w:rsidR="00862D52" w:rsidRPr="00E66A70" w:rsidRDefault="00237C10" w:rsidP="00433FA5">
      <w:pPr>
        <w:numPr>
          <w:ilvl w:val="0"/>
          <w:numId w:val="1"/>
        </w:numPr>
        <w:shd w:val="clear" w:color="auto" w:fill="FFFFFF"/>
        <w:spacing w:before="120" w:after="120" w:line="240" w:lineRule="auto"/>
        <w:rPr>
          <w:rFonts w:ascii="Arial" w:eastAsia="Arial" w:hAnsi="Arial" w:cs="Arial"/>
          <w:b/>
          <w:sz w:val="24"/>
          <w:szCs w:val="24"/>
        </w:rPr>
      </w:pPr>
      <w:r w:rsidRPr="00E66A70">
        <w:rPr>
          <w:rFonts w:ascii="Arial" w:eastAsia="Arial" w:hAnsi="Arial" w:cs="Arial"/>
          <w:sz w:val="24"/>
          <w:szCs w:val="24"/>
        </w:rPr>
        <w:t xml:space="preserve">Increase supply chain resilience and capacity </w:t>
      </w:r>
    </w:p>
    <w:p w14:paraId="6C11A8E3" w14:textId="77777777" w:rsidR="00E66A70" w:rsidRDefault="00E66A70" w:rsidP="00E66A70">
      <w:pPr>
        <w:numPr>
          <w:ilvl w:val="0"/>
          <w:numId w:val="1"/>
        </w:numPr>
        <w:shd w:val="clear" w:color="auto" w:fill="FFFFFF"/>
        <w:spacing w:before="120" w:after="120" w:line="240" w:lineRule="auto"/>
        <w:rPr>
          <w:rFonts w:ascii="Arial" w:eastAsia="Arial" w:hAnsi="Arial" w:cs="Arial"/>
          <w:b/>
          <w:sz w:val="24"/>
          <w:szCs w:val="24"/>
        </w:rPr>
      </w:pPr>
      <w:bookmarkStart w:id="2" w:name="_heading=h.1fob9te" w:colFirst="0" w:colLast="0"/>
      <w:bookmarkEnd w:id="2"/>
      <w:r w:rsidRPr="00E66A70">
        <w:rPr>
          <w:rFonts w:ascii="Arial" w:eastAsia="Arial" w:hAnsi="Arial" w:cs="Arial"/>
          <w:sz w:val="24"/>
          <w:szCs w:val="24"/>
        </w:rPr>
        <w:t>Effective stewardship of the environment</w:t>
      </w:r>
    </w:p>
    <w:p w14:paraId="2EE622D2" w14:textId="77777777" w:rsidR="00E66A70" w:rsidRDefault="00E66A70" w:rsidP="00E66A70">
      <w:pPr>
        <w:shd w:val="clear" w:color="auto" w:fill="FFFFFF"/>
        <w:spacing w:before="120" w:after="120" w:line="240" w:lineRule="auto"/>
        <w:ind w:left="720"/>
        <w:rPr>
          <w:rFonts w:ascii="Arial" w:eastAsia="Arial" w:hAnsi="Arial" w:cs="Arial"/>
          <w:b/>
          <w:sz w:val="24"/>
          <w:szCs w:val="24"/>
        </w:rPr>
      </w:pPr>
    </w:p>
    <w:p w14:paraId="00000010" w14:textId="147973BF" w:rsidR="00862D52" w:rsidRDefault="00E66A70" w:rsidP="00433FA5">
      <w:pPr>
        <w:pBdr>
          <w:top w:val="nil"/>
          <w:left w:val="nil"/>
          <w:bottom w:val="nil"/>
          <w:right w:val="nil"/>
          <w:between w:val="nil"/>
        </w:pBdr>
        <w:tabs>
          <w:tab w:val="left" w:pos="709"/>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The specification is as outlined in the </w:t>
      </w:r>
      <w:r w:rsidR="002D6892">
        <w:rPr>
          <w:rFonts w:ascii="Arial" w:eastAsia="Arial" w:hAnsi="Arial" w:cs="Arial"/>
          <w:color w:val="000000"/>
          <w:sz w:val="24"/>
          <w:szCs w:val="24"/>
        </w:rPr>
        <w:t>competitive flexible procedure notice and will not be reiterated here.</w:t>
      </w:r>
    </w:p>
    <w:p w14:paraId="7DA94BE1" w14:textId="77777777" w:rsidR="003D3277" w:rsidRDefault="003D3277" w:rsidP="00433FA5">
      <w:pPr>
        <w:pBdr>
          <w:top w:val="nil"/>
          <w:left w:val="nil"/>
          <w:bottom w:val="nil"/>
          <w:right w:val="nil"/>
          <w:between w:val="nil"/>
        </w:pBdr>
        <w:tabs>
          <w:tab w:val="left" w:pos="709"/>
        </w:tabs>
        <w:spacing w:before="120" w:after="120" w:line="240" w:lineRule="auto"/>
        <w:rPr>
          <w:rFonts w:ascii="Arial" w:eastAsia="Arial" w:hAnsi="Arial" w:cs="Arial"/>
          <w:color w:val="000000"/>
          <w:sz w:val="24"/>
          <w:szCs w:val="24"/>
        </w:rPr>
      </w:pPr>
    </w:p>
    <w:p w14:paraId="334F8C57" w14:textId="77777777" w:rsidR="008B7B08" w:rsidRPr="007A0508" w:rsidRDefault="008B7B08" w:rsidP="008B7B08">
      <w:pPr>
        <w:pStyle w:val="BodyText1"/>
        <w:rPr>
          <w:rFonts w:ascii="Lato Light" w:hAnsi="Lato Light"/>
          <w:sz w:val="22"/>
          <w:szCs w:val="22"/>
        </w:rPr>
      </w:pPr>
      <w:r w:rsidRPr="007A0508">
        <w:rPr>
          <w:rFonts w:ascii="Lato Light" w:hAnsi="Lato Light"/>
          <w:sz w:val="22"/>
          <w:szCs w:val="22"/>
        </w:rPr>
        <w:t>Lot 1 – Core Services</w:t>
      </w:r>
      <w:r>
        <w:rPr>
          <w:rFonts w:ascii="Lato Light" w:hAnsi="Lato Light"/>
          <w:sz w:val="22"/>
          <w:szCs w:val="22"/>
        </w:rPr>
        <w:t xml:space="preserve"> </w:t>
      </w:r>
      <w:r w:rsidRPr="00986A7E">
        <w:rPr>
          <w:rFonts w:ascii="Lato Light" w:hAnsi="Lato Light"/>
          <w:sz w:val="22"/>
          <w:szCs w:val="22"/>
        </w:rPr>
        <w:t xml:space="preserve">This Lot forms the operational foundation of the Authority’s fund platform and includes essential middle- and back-office services across both public and private market funds. The supplier must demonstrate full integration and automation capabilities across the </w:t>
      </w:r>
      <w:r>
        <w:rPr>
          <w:rFonts w:ascii="Lato Light" w:hAnsi="Lato Light"/>
          <w:sz w:val="22"/>
          <w:szCs w:val="22"/>
        </w:rPr>
        <w:t>following</w:t>
      </w:r>
      <w:r w:rsidRPr="00986A7E">
        <w:rPr>
          <w:rFonts w:ascii="Lato Light" w:hAnsi="Lato Light"/>
          <w:sz w:val="22"/>
          <w:szCs w:val="22"/>
        </w:rPr>
        <w:t xml:space="preserve"> areas.</w:t>
      </w:r>
    </w:p>
    <w:p w14:paraId="0DC7A1ED" w14:textId="77777777" w:rsidR="008B7B08" w:rsidRPr="00F161F8" w:rsidRDefault="008B7B08" w:rsidP="008B7B08">
      <w:pPr>
        <w:pStyle w:val="BodyText1"/>
        <w:rPr>
          <w:rFonts w:ascii="Lato Light" w:hAnsi="Lato Light"/>
          <w:sz w:val="22"/>
          <w:szCs w:val="22"/>
        </w:rPr>
      </w:pPr>
      <w:r w:rsidRPr="00F161F8">
        <w:rPr>
          <w:rFonts w:ascii="Lato Light" w:hAnsi="Lato Light"/>
          <w:sz w:val="22"/>
          <w:szCs w:val="22"/>
        </w:rPr>
        <w:t>Custody</w:t>
      </w:r>
    </w:p>
    <w:p w14:paraId="3E9BBD0A" w14:textId="77777777" w:rsidR="008B7B08" w:rsidRPr="00F161F8" w:rsidRDefault="008B7B08" w:rsidP="008B7B08">
      <w:pPr>
        <w:pStyle w:val="BodyText1"/>
        <w:numPr>
          <w:ilvl w:val="0"/>
          <w:numId w:val="12"/>
        </w:numPr>
        <w:rPr>
          <w:rFonts w:ascii="Lato Light" w:hAnsi="Lato Light"/>
          <w:sz w:val="22"/>
          <w:szCs w:val="22"/>
        </w:rPr>
      </w:pPr>
      <w:r w:rsidRPr="00F161F8">
        <w:rPr>
          <w:rFonts w:ascii="Lato Light" w:hAnsi="Lato Light"/>
          <w:sz w:val="22"/>
          <w:szCs w:val="22"/>
        </w:rPr>
        <w:t>Provision of safekeeping for all asset types including public equity, bonds, private assets, and derivatives.</w:t>
      </w:r>
    </w:p>
    <w:p w14:paraId="77B00E75" w14:textId="77777777" w:rsidR="008B7B08" w:rsidRPr="00240EAF" w:rsidRDefault="008B7B08" w:rsidP="008B7B08">
      <w:pPr>
        <w:pStyle w:val="BodyText1"/>
        <w:numPr>
          <w:ilvl w:val="0"/>
          <w:numId w:val="12"/>
        </w:numPr>
        <w:rPr>
          <w:rFonts w:ascii="Lato Light" w:hAnsi="Lato Light"/>
          <w:sz w:val="22"/>
          <w:szCs w:val="22"/>
        </w:rPr>
      </w:pPr>
      <w:r w:rsidRPr="00240EAF">
        <w:rPr>
          <w:rFonts w:ascii="Lato Light" w:hAnsi="Lato Light"/>
          <w:sz w:val="22"/>
          <w:szCs w:val="22"/>
        </w:rPr>
        <w:t>Full trade lifecycle support including settlement, monitoring, and exception resolution.</w:t>
      </w:r>
    </w:p>
    <w:p w14:paraId="382798F0" w14:textId="77777777" w:rsidR="008B7B08" w:rsidRPr="00240EAF" w:rsidRDefault="008B7B08" w:rsidP="008B7B08">
      <w:pPr>
        <w:pStyle w:val="BodyText1"/>
        <w:numPr>
          <w:ilvl w:val="0"/>
          <w:numId w:val="12"/>
        </w:numPr>
        <w:rPr>
          <w:rFonts w:ascii="Lato Light" w:hAnsi="Lato Light"/>
          <w:sz w:val="22"/>
          <w:szCs w:val="22"/>
        </w:rPr>
      </w:pPr>
      <w:r w:rsidRPr="00240EAF">
        <w:rPr>
          <w:rFonts w:ascii="Lato Light" w:hAnsi="Lato Light"/>
          <w:sz w:val="22"/>
          <w:szCs w:val="22"/>
        </w:rPr>
        <w:t>Corporate actions processing, including notifications, elections, and entitlement collection.</w:t>
      </w:r>
    </w:p>
    <w:p w14:paraId="62230188" w14:textId="77777777" w:rsidR="008B7B08" w:rsidRPr="00240EAF" w:rsidRDefault="008B7B08" w:rsidP="008B7B08">
      <w:pPr>
        <w:pStyle w:val="BodyText1"/>
        <w:numPr>
          <w:ilvl w:val="0"/>
          <w:numId w:val="12"/>
        </w:numPr>
        <w:rPr>
          <w:rFonts w:ascii="Lato Light" w:hAnsi="Lato Light"/>
          <w:sz w:val="22"/>
          <w:szCs w:val="22"/>
        </w:rPr>
      </w:pPr>
      <w:r w:rsidRPr="00240EAF">
        <w:rPr>
          <w:rFonts w:ascii="Lato Light" w:hAnsi="Lato Light"/>
          <w:sz w:val="22"/>
          <w:szCs w:val="22"/>
        </w:rPr>
        <w:t>Proxy voting services aligned with client mandates, with reporting on execution.</w:t>
      </w:r>
    </w:p>
    <w:p w14:paraId="73FEB025" w14:textId="77777777" w:rsidR="008B7B08" w:rsidRPr="00F161F8" w:rsidRDefault="008B7B08" w:rsidP="008B7B08">
      <w:pPr>
        <w:pStyle w:val="BodyText1"/>
        <w:numPr>
          <w:ilvl w:val="0"/>
          <w:numId w:val="12"/>
        </w:numPr>
        <w:rPr>
          <w:rFonts w:ascii="Lato Light" w:hAnsi="Lato Light"/>
          <w:sz w:val="22"/>
          <w:szCs w:val="22"/>
        </w:rPr>
      </w:pPr>
      <w:r w:rsidRPr="00240EAF">
        <w:rPr>
          <w:rFonts w:ascii="Lato Light" w:hAnsi="Lato Light"/>
          <w:sz w:val="22"/>
          <w:szCs w:val="22"/>
        </w:rPr>
        <w:t>Cash and income management across multicurrency accounts, with intraday visibility and control.</w:t>
      </w:r>
    </w:p>
    <w:p w14:paraId="0CB8714F" w14:textId="77777777" w:rsidR="008B7B08" w:rsidRPr="00F161F8" w:rsidRDefault="008B7B08" w:rsidP="008B7B08">
      <w:pPr>
        <w:pStyle w:val="BodyText1"/>
        <w:rPr>
          <w:rFonts w:ascii="Lato Light" w:hAnsi="Lato Light"/>
          <w:sz w:val="22"/>
          <w:szCs w:val="22"/>
        </w:rPr>
      </w:pPr>
      <w:r w:rsidRPr="00F161F8">
        <w:rPr>
          <w:rFonts w:ascii="Lato Light" w:hAnsi="Lato Light"/>
          <w:sz w:val="22"/>
          <w:szCs w:val="22"/>
        </w:rPr>
        <w:t>Fund Administration</w:t>
      </w:r>
    </w:p>
    <w:p w14:paraId="1ADF8C8A" w14:textId="77777777" w:rsidR="008B7B08" w:rsidRPr="009A3ED8" w:rsidRDefault="008B7B08" w:rsidP="008B7B08">
      <w:pPr>
        <w:pStyle w:val="BodyText1"/>
        <w:numPr>
          <w:ilvl w:val="0"/>
          <w:numId w:val="11"/>
        </w:numPr>
        <w:rPr>
          <w:rFonts w:ascii="Lato Light" w:hAnsi="Lato Light"/>
          <w:sz w:val="22"/>
          <w:szCs w:val="22"/>
        </w:rPr>
      </w:pPr>
      <w:r w:rsidRPr="009A3ED8">
        <w:rPr>
          <w:rFonts w:ascii="Lato Light" w:hAnsi="Lato Light"/>
          <w:sz w:val="22"/>
          <w:szCs w:val="22"/>
        </w:rPr>
        <w:t>NAV production and validation across public (e.g. ACS, EUUT) and private fund structures (e.g. SLPs).</w:t>
      </w:r>
    </w:p>
    <w:p w14:paraId="0D1F3D63" w14:textId="77777777" w:rsidR="008B7B08" w:rsidRPr="009A3ED8" w:rsidRDefault="008B7B08" w:rsidP="008B7B08">
      <w:pPr>
        <w:pStyle w:val="BodyText1"/>
        <w:numPr>
          <w:ilvl w:val="0"/>
          <w:numId w:val="11"/>
        </w:numPr>
        <w:rPr>
          <w:rFonts w:ascii="Lato Light" w:hAnsi="Lato Light"/>
          <w:sz w:val="22"/>
          <w:szCs w:val="22"/>
        </w:rPr>
      </w:pPr>
      <w:r w:rsidRPr="009A3ED8">
        <w:rPr>
          <w:rFonts w:ascii="Lato Light" w:hAnsi="Lato Light"/>
          <w:sz w:val="22"/>
          <w:szCs w:val="22"/>
        </w:rPr>
        <w:t>Financial reporting and audit support</w:t>
      </w:r>
      <w:r>
        <w:rPr>
          <w:rFonts w:ascii="Lato Light" w:hAnsi="Lato Light"/>
          <w:sz w:val="22"/>
          <w:szCs w:val="22"/>
        </w:rPr>
        <w:t>,</w:t>
      </w:r>
      <w:r w:rsidRPr="009A3ED8">
        <w:rPr>
          <w:rFonts w:ascii="Lato Light" w:hAnsi="Lato Light"/>
          <w:sz w:val="22"/>
          <w:szCs w:val="22"/>
        </w:rPr>
        <w:t xml:space="preserve"> including trial balances, annual accounts preparation, and year-end reconciliation.</w:t>
      </w:r>
    </w:p>
    <w:p w14:paraId="0282BBBC" w14:textId="77777777" w:rsidR="008B7B08" w:rsidRPr="009A3ED8" w:rsidRDefault="008B7B08" w:rsidP="008B7B08">
      <w:pPr>
        <w:pStyle w:val="BodyText1"/>
        <w:numPr>
          <w:ilvl w:val="0"/>
          <w:numId w:val="11"/>
        </w:numPr>
        <w:rPr>
          <w:rFonts w:ascii="Lato Light" w:hAnsi="Lato Light"/>
          <w:sz w:val="22"/>
          <w:szCs w:val="22"/>
        </w:rPr>
      </w:pPr>
      <w:r w:rsidRPr="009A3ED8">
        <w:rPr>
          <w:rFonts w:ascii="Lato Light" w:hAnsi="Lato Light"/>
          <w:sz w:val="22"/>
          <w:szCs w:val="22"/>
        </w:rPr>
        <w:t>Management of capital calls, distributions, performance fee crystallisation, and valuation challenges.</w:t>
      </w:r>
    </w:p>
    <w:p w14:paraId="6C68DAAF" w14:textId="61567A7D" w:rsidR="008B7B08" w:rsidRPr="00F161F8" w:rsidRDefault="00EB4244" w:rsidP="008B7B08">
      <w:pPr>
        <w:pStyle w:val="BodyText1"/>
        <w:numPr>
          <w:ilvl w:val="0"/>
          <w:numId w:val="11"/>
        </w:numPr>
        <w:rPr>
          <w:rFonts w:ascii="Lato Light" w:hAnsi="Lato Light"/>
          <w:sz w:val="22"/>
          <w:szCs w:val="22"/>
        </w:rPr>
      </w:pPr>
      <w:r w:rsidRPr="00EB4244">
        <w:rPr>
          <w:rFonts w:ascii="Lato Light" w:hAnsi="Lato Light"/>
          <w:sz w:val="22"/>
          <w:szCs w:val="22"/>
        </w:rPr>
        <w:lastRenderedPageBreak/>
        <w:t>Flexible reporting across investor levels and fund structures and share classes</w:t>
      </w:r>
      <w:r w:rsidR="008B7B08" w:rsidRPr="009A3ED8">
        <w:rPr>
          <w:rFonts w:ascii="Lato Light" w:hAnsi="Lato Light"/>
          <w:sz w:val="22"/>
          <w:szCs w:val="22"/>
        </w:rPr>
        <w:t>.</w:t>
      </w:r>
    </w:p>
    <w:p w14:paraId="0D9A5F0B" w14:textId="77777777" w:rsidR="008B7B08" w:rsidRPr="00F161F8" w:rsidRDefault="008B7B08" w:rsidP="008B7B08">
      <w:pPr>
        <w:pStyle w:val="BodyText1"/>
        <w:rPr>
          <w:rFonts w:ascii="Lato Light" w:hAnsi="Lato Light"/>
          <w:sz w:val="22"/>
          <w:szCs w:val="22"/>
        </w:rPr>
      </w:pPr>
      <w:r w:rsidRPr="00F161F8">
        <w:rPr>
          <w:rFonts w:ascii="Lato Light" w:hAnsi="Lato Light"/>
          <w:sz w:val="22"/>
          <w:szCs w:val="22"/>
        </w:rPr>
        <w:t>Depository Services</w:t>
      </w:r>
    </w:p>
    <w:p w14:paraId="763CEFF3" w14:textId="77777777" w:rsidR="008B7B08" w:rsidRPr="00EA01CE" w:rsidRDefault="008B7B08" w:rsidP="008B7B08">
      <w:pPr>
        <w:pStyle w:val="BodyText1"/>
        <w:numPr>
          <w:ilvl w:val="0"/>
          <w:numId w:val="10"/>
        </w:numPr>
        <w:rPr>
          <w:rFonts w:ascii="Lato Light" w:hAnsi="Lato Light"/>
          <w:sz w:val="22"/>
          <w:szCs w:val="22"/>
        </w:rPr>
      </w:pPr>
      <w:r w:rsidRPr="00EA01CE">
        <w:rPr>
          <w:rFonts w:ascii="Lato Light" w:hAnsi="Lato Light"/>
          <w:sz w:val="22"/>
          <w:szCs w:val="22"/>
        </w:rPr>
        <w:t>Oversight of regulated fund vehicles</w:t>
      </w:r>
      <w:r>
        <w:rPr>
          <w:rFonts w:ascii="Lato Light" w:hAnsi="Lato Light"/>
          <w:sz w:val="22"/>
          <w:szCs w:val="22"/>
        </w:rPr>
        <w:t>,</w:t>
      </w:r>
      <w:r w:rsidRPr="00EA01CE">
        <w:rPr>
          <w:rFonts w:ascii="Lato Light" w:hAnsi="Lato Light"/>
          <w:sz w:val="22"/>
          <w:szCs w:val="22"/>
        </w:rPr>
        <w:t xml:space="preserve"> including asset safekeeping verification, </w:t>
      </w:r>
      <w:r>
        <w:rPr>
          <w:rFonts w:ascii="Lato Light" w:hAnsi="Lato Light"/>
          <w:sz w:val="22"/>
          <w:szCs w:val="22"/>
        </w:rPr>
        <w:t>cash flow</w:t>
      </w:r>
      <w:r w:rsidRPr="00EA01CE">
        <w:rPr>
          <w:rFonts w:ascii="Lato Light" w:hAnsi="Lato Light"/>
          <w:sz w:val="22"/>
          <w:szCs w:val="22"/>
        </w:rPr>
        <w:t xml:space="preserve"> monitoring, and breach escalation.</w:t>
      </w:r>
    </w:p>
    <w:p w14:paraId="1ACE3E02" w14:textId="77777777" w:rsidR="008B7B08" w:rsidRPr="00EA01CE" w:rsidRDefault="008B7B08" w:rsidP="008B7B08">
      <w:pPr>
        <w:pStyle w:val="BodyText1"/>
        <w:numPr>
          <w:ilvl w:val="0"/>
          <w:numId w:val="10"/>
        </w:numPr>
        <w:rPr>
          <w:rFonts w:ascii="Lato Light" w:hAnsi="Lato Light"/>
          <w:sz w:val="22"/>
          <w:szCs w:val="22"/>
        </w:rPr>
      </w:pPr>
      <w:r w:rsidRPr="00EA01CE">
        <w:rPr>
          <w:rFonts w:ascii="Lato Light" w:hAnsi="Lato Light"/>
          <w:sz w:val="22"/>
          <w:szCs w:val="22"/>
        </w:rPr>
        <w:t>Segregation of oversight and custody where required under regulation.</w:t>
      </w:r>
    </w:p>
    <w:p w14:paraId="752D8899" w14:textId="77777777" w:rsidR="008B7B08" w:rsidRPr="00F161F8" w:rsidRDefault="008B7B08" w:rsidP="008B7B08">
      <w:pPr>
        <w:pStyle w:val="BodyText1"/>
        <w:numPr>
          <w:ilvl w:val="0"/>
          <w:numId w:val="10"/>
        </w:numPr>
        <w:rPr>
          <w:rFonts w:ascii="Lato Light" w:hAnsi="Lato Light"/>
          <w:sz w:val="22"/>
          <w:szCs w:val="22"/>
        </w:rPr>
      </w:pPr>
      <w:r w:rsidRPr="00EA01CE">
        <w:rPr>
          <w:rFonts w:ascii="Lato Light" w:hAnsi="Lato Light"/>
          <w:sz w:val="22"/>
          <w:szCs w:val="22"/>
        </w:rPr>
        <w:t>Periodic due diligence and assurance reporting.</w:t>
      </w:r>
    </w:p>
    <w:p w14:paraId="6EDE466C" w14:textId="77777777" w:rsidR="008B7B08" w:rsidRPr="00F161F8" w:rsidRDefault="008B7B08" w:rsidP="008B7B08">
      <w:pPr>
        <w:pStyle w:val="BodyText1"/>
        <w:rPr>
          <w:rFonts w:ascii="Lato Light" w:hAnsi="Lato Light"/>
          <w:sz w:val="22"/>
          <w:szCs w:val="22"/>
        </w:rPr>
      </w:pPr>
      <w:r w:rsidRPr="00F161F8">
        <w:rPr>
          <w:rFonts w:ascii="Lato Light" w:hAnsi="Lato Light"/>
          <w:sz w:val="22"/>
          <w:szCs w:val="22"/>
        </w:rPr>
        <w:t>Transfer Agency</w:t>
      </w:r>
    </w:p>
    <w:p w14:paraId="60408C5A" w14:textId="77777777" w:rsidR="008B7B08" w:rsidRPr="006C7F7B" w:rsidRDefault="008B7B08" w:rsidP="008B7B08">
      <w:pPr>
        <w:pStyle w:val="BodyText1"/>
        <w:numPr>
          <w:ilvl w:val="0"/>
          <w:numId w:val="9"/>
        </w:numPr>
        <w:rPr>
          <w:rFonts w:ascii="Lato Light" w:hAnsi="Lato Light"/>
          <w:sz w:val="22"/>
          <w:szCs w:val="22"/>
        </w:rPr>
      </w:pPr>
      <w:r w:rsidRPr="006C7F7B">
        <w:rPr>
          <w:rFonts w:ascii="Lato Light" w:hAnsi="Lato Light"/>
          <w:sz w:val="22"/>
          <w:szCs w:val="22"/>
        </w:rPr>
        <w:t>Subscription, redemption, and switch processing for investors.</w:t>
      </w:r>
    </w:p>
    <w:p w14:paraId="275540EC" w14:textId="77777777" w:rsidR="008B7B08" w:rsidRPr="006C7F7B" w:rsidRDefault="008B7B08" w:rsidP="008B7B08">
      <w:pPr>
        <w:pStyle w:val="BodyText1"/>
        <w:numPr>
          <w:ilvl w:val="0"/>
          <w:numId w:val="9"/>
        </w:numPr>
        <w:rPr>
          <w:rFonts w:ascii="Lato Light" w:hAnsi="Lato Light"/>
          <w:sz w:val="22"/>
          <w:szCs w:val="22"/>
        </w:rPr>
      </w:pPr>
      <w:r w:rsidRPr="006C7F7B">
        <w:rPr>
          <w:rFonts w:ascii="Lato Light" w:hAnsi="Lato Light"/>
          <w:sz w:val="22"/>
          <w:szCs w:val="22"/>
        </w:rPr>
        <w:t>Maintenance of investor registers, anti-money laundering compliance, and document collection.</w:t>
      </w:r>
    </w:p>
    <w:p w14:paraId="0CA86A9D" w14:textId="77777777" w:rsidR="008B7B08" w:rsidRPr="006C7F7B" w:rsidRDefault="008B7B08" w:rsidP="008B7B08">
      <w:pPr>
        <w:pStyle w:val="BodyText1"/>
        <w:numPr>
          <w:ilvl w:val="0"/>
          <w:numId w:val="9"/>
        </w:numPr>
        <w:rPr>
          <w:rFonts w:ascii="Lato Light" w:hAnsi="Lato Light"/>
          <w:sz w:val="22"/>
          <w:szCs w:val="22"/>
        </w:rPr>
      </w:pPr>
      <w:r w:rsidRPr="006C7F7B">
        <w:rPr>
          <w:rFonts w:ascii="Lato Light" w:hAnsi="Lato Light"/>
          <w:sz w:val="22"/>
          <w:szCs w:val="22"/>
        </w:rPr>
        <w:t>Client onboarding, portal access, and investor servicing SLAs.</w:t>
      </w:r>
    </w:p>
    <w:p w14:paraId="340ECA73" w14:textId="77777777" w:rsidR="008B7B08" w:rsidRPr="00F161F8" w:rsidRDefault="008B7B08" w:rsidP="008B7B08">
      <w:pPr>
        <w:pStyle w:val="BodyText1"/>
        <w:numPr>
          <w:ilvl w:val="0"/>
          <w:numId w:val="9"/>
        </w:numPr>
        <w:rPr>
          <w:rFonts w:ascii="Lato Light" w:hAnsi="Lato Light"/>
          <w:sz w:val="22"/>
          <w:szCs w:val="22"/>
        </w:rPr>
      </w:pPr>
      <w:r w:rsidRPr="006C7F7B">
        <w:rPr>
          <w:rFonts w:ascii="Lato Light" w:hAnsi="Lato Light"/>
          <w:sz w:val="22"/>
          <w:szCs w:val="22"/>
        </w:rPr>
        <w:t>Tailored to both listed and unlisted fund share classes.</w:t>
      </w:r>
    </w:p>
    <w:p w14:paraId="36796735" w14:textId="77777777" w:rsidR="008B7B08" w:rsidRPr="00F161F8" w:rsidRDefault="008B7B08" w:rsidP="008B7B08">
      <w:pPr>
        <w:pStyle w:val="BodyText1"/>
        <w:rPr>
          <w:rFonts w:ascii="Lato Light" w:hAnsi="Lato Light"/>
          <w:sz w:val="22"/>
          <w:szCs w:val="22"/>
        </w:rPr>
      </w:pPr>
      <w:r w:rsidRPr="00F161F8">
        <w:rPr>
          <w:rFonts w:ascii="Lato Light" w:hAnsi="Lato Light"/>
          <w:sz w:val="22"/>
          <w:szCs w:val="22"/>
        </w:rPr>
        <w:t>Investment Operations</w:t>
      </w:r>
    </w:p>
    <w:p w14:paraId="6A793664" w14:textId="77777777" w:rsidR="008B7B08" w:rsidRPr="00043FC8" w:rsidRDefault="008B7B08" w:rsidP="008B7B08">
      <w:pPr>
        <w:pStyle w:val="BodyText1"/>
        <w:numPr>
          <w:ilvl w:val="0"/>
          <w:numId w:val="8"/>
        </w:numPr>
        <w:rPr>
          <w:rFonts w:ascii="Lato Light" w:hAnsi="Lato Light"/>
          <w:sz w:val="22"/>
          <w:szCs w:val="22"/>
        </w:rPr>
      </w:pPr>
      <w:r w:rsidRPr="00043FC8">
        <w:rPr>
          <w:rFonts w:ascii="Lato Light" w:hAnsi="Lato Light"/>
          <w:sz w:val="22"/>
          <w:szCs w:val="22"/>
        </w:rPr>
        <w:t>Oversight of middle-office processes: trade capture, reconciliations (cash, positions, transactions), and lifecycle monitoring.</w:t>
      </w:r>
    </w:p>
    <w:p w14:paraId="472887E0" w14:textId="77777777" w:rsidR="008B7B08" w:rsidRPr="00043FC8" w:rsidRDefault="008B7B08" w:rsidP="008B7B08">
      <w:pPr>
        <w:pStyle w:val="BodyText1"/>
        <w:numPr>
          <w:ilvl w:val="0"/>
          <w:numId w:val="8"/>
        </w:numPr>
        <w:rPr>
          <w:rFonts w:ascii="Lato Light" w:hAnsi="Lato Light"/>
          <w:sz w:val="22"/>
          <w:szCs w:val="22"/>
        </w:rPr>
      </w:pPr>
      <w:r w:rsidRPr="00043FC8">
        <w:rPr>
          <w:rFonts w:ascii="Lato Light" w:hAnsi="Lato Light"/>
          <w:sz w:val="22"/>
          <w:szCs w:val="22"/>
        </w:rPr>
        <w:t>Data management for positions, transactions, and reference data including fund static.</w:t>
      </w:r>
    </w:p>
    <w:p w14:paraId="78F16547" w14:textId="77777777" w:rsidR="008B7B08" w:rsidRPr="00043FC8" w:rsidRDefault="008B7B08" w:rsidP="008B7B08">
      <w:pPr>
        <w:pStyle w:val="BodyText1"/>
        <w:numPr>
          <w:ilvl w:val="0"/>
          <w:numId w:val="8"/>
        </w:numPr>
        <w:rPr>
          <w:rFonts w:ascii="Lato Light" w:hAnsi="Lato Light"/>
          <w:sz w:val="22"/>
          <w:szCs w:val="22"/>
        </w:rPr>
      </w:pPr>
      <w:r w:rsidRPr="00043FC8">
        <w:rPr>
          <w:rFonts w:ascii="Lato Light" w:hAnsi="Lato Light"/>
          <w:sz w:val="22"/>
          <w:szCs w:val="22"/>
        </w:rPr>
        <w:t xml:space="preserve">Integration with </w:t>
      </w:r>
      <w:r>
        <w:rPr>
          <w:rFonts w:ascii="Lato Light" w:hAnsi="Lato Light"/>
          <w:sz w:val="22"/>
          <w:szCs w:val="22"/>
        </w:rPr>
        <w:t>Investment Managers</w:t>
      </w:r>
      <w:r w:rsidRPr="00043FC8">
        <w:rPr>
          <w:rFonts w:ascii="Lato Light" w:hAnsi="Lato Light"/>
          <w:sz w:val="22"/>
          <w:szCs w:val="22"/>
        </w:rPr>
        <w:t>, custodians, and third-party systems.</w:t>
      </w:r>
    </w:p>
    <w:p w14:paraId="5FC74AE1" w14:textId="77777777" w:rsidR="008B7B08" w:rsidRDefault="008B7B08" w:rsidP="008B7B08">
      <w:pPr>
        <w:pStyle w:val="BodyText1"/>
        <w:numPr>
          <w:ilvl w:val="0"/>
          <w:numId w:val="8"/>
        </w:numPr>
        <w:rPr>
          <w:rFonts w:ascii="Lato Light" w:hAnsi="Lato Light"/>
          <w:sz w:val="22"/>
          <w:szCs w:val="22"/>
        </w:rPr>
      </w:pPr>
      <w:r w:rsidRPr="00043FC8">
        <w:rPr>
          <w:rFonts w:ascii="Lato Light" w:hAnsi="Lato Light"/>
          <w:sz w:val="22"/>
          <w:szCs w:val="22"/>
        </w:rPr>
        <w:t>Provision of timely dashboards, workflow tools, and MI reporting.</w:t>
      </w:r>
    </w:p>
    <w:p w14:paraId="558EE09E" w14:textId="37F1A92C" w:rsidR="0008342B" w:rsidRPr="00057E70" w:rsidRDefault="002435EC" w:rsidP="00057E70">
      <w:pPr>
        <w:pStyle w:val="BodyText1"/>
        <w:numPr>
          <w:ilvl w:val="0"/>
          <w:numId w:val="8"/>
        </w:numPr>
        <w:rPr>
          <w:rFonts w:ascii="Lato Light" w:hAnsi="Lato Light"/>
          <w:sz w:val="22"/>
          <w:szCs w:val="22"/>
        </w:rPr>
      </w:pPr>
      <w:r>
        <w:rPr>
          <w:rFonts w:ascii="Lato Light" w:hAnsi="Lato Light"/>
          <w:sz w:val="22"/>
          <w:szCs w:val="22"/>
        </w:rPr>
        <w:t xml:space="preserve">Placement of </w:t>
      </w:r>
      <w:r w:rsidR="0008342B">
        <w:rPr>
          <w:rFonts w:ascii="Lato Light" w:hAnsi="Lato Light"/>
          <w:sz w:val="22"/>
          <w:szCs w:val="22"/>
        </w:rPr>
        <w:t>Orders for Pooled Fund activity</w:t>
      </w:r>
      <w:r w:rsidR="00057E70">
        <w:rPr>
          <w:rFonts w:ascii="Lato Light" w:hAnsi="Lato Light"/>
          <w:sz w:val="22"/>
          <w:szCs w:val="22"/>
        </w:rPr>
        <w:t xml:space="preserve"> and Private Market </w:t>
      </w:r>
      <w:r w:rsidR="00024D28">
        <w:rPr>
          <w:rFonts w:ascii="Lato Light" w:hAnsi="Lato Light"/>
          <w:sz w:val="22"/>
          <w:szCs w:val="22"/>
        </w:rPr>
        <w:t xml:space="preserve">Fund </w:t>
      </w:r>
      <w:r w:rsidR="00057E70">
        <w:rPr>
          <w:rFonts w:ascii="Lato Light" w:hAnsi="Lato Light"/>
          <w:sz w:val="22"/>
          <w:szCs w:val="22"/>
        </w:rPr>
        <w:t xml:space="preserve">Drawdowns, including FX trade </w:t>
      </w:r>
      <w:r w:rsidR="00024D28">
        <w:rPr>
          <w:rFonts w:ascii="Lato Light" w:hAnsi="Lato Light"/>
          <w:sz w:val="22"/>
          <w:szCs w:val="22"/>
        </w:rPr>
        <w:t>placement.</w:t>
      </w:r>
    </w:p>
    <w:p w14:paraId="7B907DC4" w14:textId="77777777" w:rsidR="008B7B08" w:rsidRPr="00F161F8" w:rsidRDefault="008B7B08" w:rsidP="008B7B08">
      <w:pPr>
        <w:pStyle w:val="BodyText1"/>
        <w:rPr>
          <w:rFonts w:ascii="Lato Light" w:hAnsi="Lato Light"/>
          <w:sz w:val="22"/>
          <w:szCs w:val="22"/>
        </w:rPr>
      </w:pPr>
      <w:r w:rsidRPr="00F161F8">
        <w:rPr>
          <w:rFonts w:ascii="Lato Light" w:hAnsi="Lato Light"/>
          <w:sz w:val="22"/>
          <w:szCs w:val="22"/>
        </w:rPr>
        <w:t>Withholding Tax</w:t>
      </w:r>
    </w:p>
    <w:p w14:paraId="7135B4D9" w14:textId="77777777" w:rsidR="008B7B08" w:rsidRPr="00F161F8" w:rsidRDefault="008B7B08" w:rsidP="008B7B08">
      <w:pPr>
        <w:pStyle w:val="BodyText1"/>
        <w:numPr>
          <w:ilvl w:val="0"/>
          <w:numId w:val="7"/>
        </w:numPr>
        <w:rPr>
          <w:rFonts w:ascii="Lato Light" w:hAnsi="Lato Light"/>
          <w:sz w:val="22"/>
          <w:szCs w:val="22"/>
        </w:rPr>
      </w:pPr>
      <w:r w:rsidRPr="00F161F8">
        <w:rPr>
          <w:rFonts w:ascii="Lato Light" w:hAnsi="Lato Light"/>
          <w:sz w:val="22"/>
          <w:szCs w:val="22"/>
        </w:rPr>
        <w:t>Maintenance of tax documentation across jurisdictions.</w:t>
      </w:r>
    </w:p>
    <w:p w14:paraId="3467D15C" w14:textId="77777777" w:rsidR="008B7B08" w:rsidRPr="00F161F8" w:rsidRDefault="008B7B08" w:rsidP="008B7B08">
      <w:pPr>
        <w:pStyle w:val="BodyText1"/>
        <w:numPr>
          <w:ilvl w:val="0"/>
          <w:numId w:val="7"/>
        </w:numPr>
        <w:rPr>
          <w:rFonts w:ascii="Lato Light" w:hAnsi="Lato Light"/>
          <w:sz w:val="22"/>
          <w:szCs w:val="22"/>
        </w:rPr>
      </w:pPr>
      <w:r w:rsidRPr="00F161F8">
        <w:rPr>
          <w:rFonts w:ascii="Lato Light" w:hAnsi="Lato Light"/>
          <w:sz w:val="22"/>
          <w:szCs w:val="22"/>
        </w:rPr>
        <w:t>Application of relief at source where eligible.</w:t>
      </w:r>
    </w:p>
    <w:p w14:paraId="0DD778E3" w14:textId="77777777" w:rsidR="008B7B08" w:rsidRPr="00F161F8" w:rsidRDefault="008B7B08" w:rsidP="008B7B08">
      <w:pPr>
        <w:pStyle w:val="BodyText1"/>
        <w:numPr>
          <w:ilvl w:val="0"/>
          <w:numId w:val="7"/>
        </w:numPr>
        <w:rPr>
          <w:rFonts w:ascii="Lato Light" w:hAnsi="Lato Light"/>
          <w:sz w:val="22"/>
          <w:szCs w:val="22"/>
        </w:rPr>
      </w:pPr>
      <w:r w:rsidRPr="00F161F8">
        <w:rPr>
          <w:rFonts w:ascii="Lato Light" w:hAnsi="Lato Light"/>
          <w:sz w:val="22"/>
          <w:szCs w:val="22"/>
        </w:rPr>
        <w:t>Reclaim filing and monitoring, with visibility of status and recovery timing.</w:t>
      </w:r>
      <w:r>
        <w:rPr>
          <w:rFonts w:ascii="Lato Light" w:hAnsi="Lato Light"/>
          <w:sz w:val="22"/>
          <w:szCs w:val="22"/>
        </w:rPr>
        <w:t xml:space="preserve"> </w:t>
      </w:r>
      <w:r w:rsidRPr="00722034">
        <w:rPr>
          <w:rFonts w:ascii="Lato Light" w:hAnsi="Lato Light"/>
          <w:sz w:val="22"/>
          <w:szCs w:val="22"/>
        </w:rPr>
        <w:t>Reporting on open reclaims, timelines, and recovery rates</w:t>
      </w:r>
    </w:p>
    <w:p w14:paraId="1E45545D" w14:textId="77777777" w:rsidR="008B7B08" w:rsidRPr="007A0508" w:rsidRDefault="008B7B08" w:rsidP="008B7B08">
      <w:pPr>
        <w:pStyle w:val="BodyText1"/>
        <w:rPr>
          <w:rFonts w:ascii="Lato Light" w:hAnsi="Lato Light"/>
          <w:sz w:val="22"/>
          <w:szCs w:val="22"/>
        </w:rPr>
      </w:pPr>
    </w:p>
    <w:p w14:paraId="64C23A97" w14:textId="77777777" w:rsidR="008B7B08" w:rsidRPr="007A0508" w:rsidRDefault="008B7B08" w:rsidP="008B7B08">
      <w:pPr>
        <w:pStyle w:val="BodyText1"/>
        <w:rPr>
          <w:rFonts w:ascii="Lato Light" w:hAnsi="Lato Light"/>
          <w:sz w:val="22"/>
          <w:szCs w:val="22"/>
        </w:rPr>
      </w:pPr>
      <w:r w:rsidRPr="007A0508">
        <w:rPr>
          <w:rFonts w:ascii="Lato Light" w:hAnsi="Lato Light"/>
          <w:sz w:val="22"/>
          <w:szCs w:val="22"/>
        </w:rPr>
        <w:t>Suppliers are expected to:</w:t>
      </w:r>
    </w:p>
    <w:p w14:paraId="0A4EA5A6" w14:textId="77777777" w:rsidR="008B7B08" w:rsidRPr="007A0508" w:rsidRDefault="008B7B08" w:rsidP="008B7B08">
      <w:pPr>
        <w:pStyle w:val="BodyText1"/>
        <w:rPr>
          <w:rFonts w:ascii="Lato Light" w:hAnsi="Lato Light"/>
          <w:sz w:val="22"/>
          <w:szCs w:val="22"/>
        </w:rPr>
      </w:pPr>
      <w:r w:rsidRPr="007A0508">
        <w:rPr>
          <w:rFonts w:ascii="Lato Light" w:hAnsi="Lato Light"/>
          <w:sz w:val="22"/>
          <w:szCs w:val="22"/>
        </w:rPr>
        <w:t>Demonstrate operational scale, regulatory expertise, and automation across services</w:t>
      </w:r>
    </w:p>
    <w:p w14:paraId="06358F46" w14:textId="77777777" w:rsidR="008B7B08" w:rsidRPr="007A0508" w:rsidRDefault="008B7B08" w:rsidP="008B7B08">
      <w:pPr>
        <w:pStyle w:val="BodyText1"/>
        <w:rPr>
          <w:rFonts w:ascii="Lato Light" w:hAnsi="Lato Light"/>
          <w:sz w:val="22"/>
          <w:szCs w:val="22"/>
        </w:rPr>
      </w:pPr>
      <w:r w:rsidRPr="007A0508">
        <w:rPr>
          <w:rFonts w:ascii="Lato Light" w:hAnsi="Lato Light"/>
          <w:sz w:val="22"/>
          <w:szCs w:val="22"/>
        </w:rPr>
        <w:t>Support UK fund structures (e.g., ACS, EUUTs) and global asset classes</w:t>
      </w:r>
    </w:p>
    <w:p w14:paraId="4FC62C39" w14:textId="77777777" w:rsidR="008B7B08" w:rsidRPr="007A0508" w:rsidRDefault="008B7B08" w:rsidP="008B7B08">
      <w:pPr>
        <w:pStyle w:val="BodyText1"/>
        <w:rPr>
          <w:rFonts w:ascii="Lato Light" w:hAnsi="Lato Light"/>
          <w:sz w:val="22"/>
          <w:szCs w:val="22"/>
        </w:rPr>
      </w:pPr>
      <w:r w:rsidRPr="007A0508">
        <w:rPr>
          <w:rFonts w:ascii="Lato Light" w:hAnsi="Lato Light"/>
          <w:sz w:val="22"/>
          <w:szCs w:val="22"/>
        </w:rPr>
        <w:t>Provide transparent, flexible service models with strong MI and risk oversight</w:t>
      </w:r>
    </w:p>
    <w:p w14:paraId="009B5E9A" w14:textId="77777777" w:rsidR="008B7B08" w:rsidRPr="007A0508" w:rsidRDefault="008B7B08" w:rsidP="008B7B08">
      <w:pPr>
        <w:pStyle w:val="BodyText1"/>
        <w:rPr>
          <w:rFonts w:ascii="Lato Light" w:hAnsi="Lato Light"/>
          <w:sz w:val="22"/>
          <w:szCs w:val="22"/>
        </w:rPr>
      </w:pPr>
      <w:r w:rsidRPr="007A0508">
        <w:rPr>
          <w:rFonts w:ascii="Lato Light" w:hAnsi="Lato Light"/>
          <w:sz w:val="22"/>
          <w:szCs w:val="22"/>
        </w:rPr>
        <w:lastRenderedPageBreak/>
        <w:t>Evidence technology infrastructure, data controls, and continuity measures</w:t>
      </w:r>
    </w:p>
    <w:p w14:paraId="6388EFE4" w14:textId="77777777" w:rsidR="008B7B08" w:rsidRPr="007A0508" w:rsidRDefault="008B7B08" w:rsidP="008B7B08">
      <w:pPr>
        <w:pStyle w:val="BodyText1"/>
        <w:rPr>
          <w:rFonts w:ascii="Lato Light" w:hAnsi="Lato Light"/>
          <w:sz w:val="22"/>
          <w:szCs w:val="22"/>
        </w:rPr>
      </w:pPr>
    </w:p>
    <w:p w14:paraId="1767F5A4" w14:textId="77777777" w:rsidR="008B7B08" w:rsidRPr="007A0508" w:rsidRDefault="008B7B08" w:rsidP="008B7B08">
      <w:pPr>
        <w:pStyle w:val="BodyText1"/>
        <w:rPr>
          <w:rFonts w:ascii="Lato Light" w:hAnsi="Lato Light"/>
          <w:sz w:val="22"/>
          <w:szCs w:val="22"/>
        </w:rPr>
      </w:pPr>
      <w:r w:rsidRPr="007A0508">
        <w:rPr>
          <w:rFonts w:ascii="Lato Light" w:hAnsi="Lato Light"/>
          <w:sz w:val="22"/>
          <w:szCs w:val="22"/>
        </w:rPr>
        <w:t>Lot 2 – Client Reporting Services</w:t>
      </w:r>
      <w:r>
        <w:rPr>
          <w:rFonts w:ascii="Lato Light" w:hAnsi="Lato Light"/>
          <w:sz w:val="22"/>
          <w:szCs w:val="22"/>
        </w:rPr>
        <w:t xml:space="preserve"> - </w:t>
      </w:r>
      <w:r w:rsidRPr="0029365F">
        <w:rPr>
          <w:rFonts w:ascii="Lato Light" w:hAnsi="Lato Light"/>
          <w:sz w:val="22"/>
          <w:szCs w:val="22"/>
        </w:rPr>
        <w:t>Lot 2 comprises client-facing reporting and oversight services to support transparency, engagement, and governance with London CIV’s underlying clients. This Lot includes the production of standardised client reports, the integration of data sources and systems to enable reporting automation, and the provision of dashboards and oversight tools that facilitate monitoring of service performance</w:t>
      </w:r>
    </w:p>
    <w:p w14:paraId="0A476488" w14:textId="77777777" w:rsidR="008B7B08" w:rsidRPr="007A0508" w:rsidRDefault="008B7B08" w:rsidP="008B7B08">
      <w:pPr>
        <w:pStyle w:val="BodyText1"/>
        <w:rPr>
          <w:rFonts w:ascii="Lato Light" w:hAnsi="Lato Light"/>
          <w:sz w:val="22"/>
          <w:szCs w:val="22"/>
        </w:rPr>
      </w:pPr>
      <w:r w:rsidRPr="007A0508">
        <w:rPr>
          <w:rFonts w:ascii="Lato Light" w:hAnsi="Lato Light"/>
          <w:sz w:val="22"/>
          <w:szCs w:val="22"/>
        </w:rPr>
        <w:t>This Lot covers services including:</w:t>
      </w:r>
    </w:p>
    <w:p w14:paraId="6FE8619D" w14:textId="77777777" w:rsidR="008B7B08" w:rsidRDefault="008B7B08" w:rsidP="008B7B08">
      <w:pPr>
        <w:pStyle w:val="BodyText1"/>
        <w:rPr>
          <w:rFonts w:ascii="Lato Light" w:hAnsi="Lato Light"/>
          <w:sz w:val="22"/>
          <w:szCs w:val="22"/>
        </w:rPr>
      </w:pPr>
      <w:r>
        <w:rPr>
          <w:rFonts w:ascii="Lato Light" w:hAnsi="Lato Light"/>
          <w:sz w:val="22"/>
          <w:szCs w:val="22"/>
        </w:rPr>
        <w:t>Client Reporting</w:t>
      </w:r>
    </w:p>
    <w:p w14:paraId="40F5A451" w14:textId="77777777" w:rsidR="008B7B08" w:rsidRPr="006B086A" w:rsidRDefault="008B7B08" w:rsidP="008B7B08">
      <w:pPr>
        <w:pStyle w:val="BodyText1"/>
        <w:numPr>
          <w:ilvl w:val="0"/>
          <w:numId w:val="3"/>
        </w:numPr>
        <w:rPr>
          <w:rFonts w:ascii="Lato Light" w:hAnsi="Lato Light"/>
          <w:sz w:val="22"/>
          <w:szCs w:val="22"/>
        </w:rPr>
      </w:pPr>
      <w:r w:rsidRPr="006B086A">
        <w:rPr>
          <w:rFonts w:ascii="Lato Light" w:hAnsi="Lato Light"/>
          <w:sz w:val="22"/>
          <w:szCs w:val="22"/>
        </w:rPr>
        <w:t>Production of standardised reports (performance, attribution, holdings, risk) tailored to different client types.</w:t>
      </w:r>
    </w:p>
    <w:p w14:paraId="2AADA100" w14:textId="77777777" w:rsidR="008B7B08" w:rsidRPr="006B086A" w:rsidRDefault="008B7B08" w:rsidP="008B7B08">
      <w:pPr>
        <w:pStyle w:val="BodyText1"/>
        <w:numPr>
          <w:ilvl w:val="0"/>
          <w:numId w:val="3"/>
        </w:numPr>
        <w:rPr>
          <w:rFonts w:ascii="Lato Light" w:hAnsi="Lato Light"/>
          <w:sz w:val="22"/>
          <w:szCs w:val="22"/>
        </w:rPr>
      </w:pPr>
      <w:r w:rsidRPr="006B086A">
        <w:rPr>
          <w:rFonts w:ascii="Lato Light" w:hAnsi="Lato Light"/>
          <w:sz w:val="22"/>
          <w:szCs w:val="22"/>
        </w:rPr>
        <w:t xml:space="preserve">Support for templated and bespoke reporting across </w:t>
      </w:r>
      <w:r>
        <w:rPr>
          <w:rFonts w:ascii="Lato Light" w:hAnsi="Lato Light"/>
          <w:sz w:val="22"/>
          <w:szCs w:val="22"/>
        </w:rPr>
        <w:t xml:space="preserve">Private and Public </w:t>
      </w:r>
      <w:r w:rsidRPr="006B086A">
        <w:rPr>
          <w:rFonts w:ascii="Lato Light" w:hAnsi="Lato Light"/>
          <w:sz w:val="22"/>
          <w:szCs w:val="22"/>
        </w:rPr>
        <w:t>market fund structures.</w:t>
      </w:r>
    </w:p>
    <w:p w14:paraId="62065437" w14:textId="77777777" w:rsidR="008B7B08" w:rsidRPr="006B086A" w:rsidRDefault="008B7B08" w:rsidP="008B7B08">
      <w:pPr>
        <w:pStyle w:val="BodyText1"/>
        <w:numPr>
          <w:ilvl w:val="0"/>
          <w:numId w:val="3"/>
        </w:numPr>
        <w:rPr>
          <w:rFonts w:ascii="Lato Light" w:hAnsi="Lato Light"/>
          <w:sz w:val="22"/>
          <w:szCs w:val="22"/>
        </w:rPr>
      </w:pPr>
      <w:r w:rsidRPr="006B086A">
        <w:rPr>
          <w:rFonts w:ascii="Lato Light" w:hAnsi="Lato Light"/>
          <w:sz w:val="22"/>
          <w:szCs w:val="22"/>
        </w:rPr>
        <w:t>Adherence to agreed reporting deadlines and publication schedules.</w:t>
      </w:r>
    </w:p>
    <w:p w14:paraId="27D9AC4E" w14:textId="77777777" w:rsidR="008B7B08" w:rsidRDefault="008B7B08" w:rsidP="008B7B08">
      <w:pPr>
        <w:pStyle w:val="BodyText1"/>
        <w:numPr>
          <w:ilvl w:val="0"/>
          <w:numId w:val="3"/>
        </w:numPr>
        <w:rPr>
          <w:rFonts w:ascii="Lato Light" w:hAnsi="Lato Light"/>
          <w:sz w:val="22"/>
          <w:szCs w:val="22"/>
        </w:rPr>
      </w:pPr>
      <w:r w:rsidRPr="006B086A">
        <w:rPr>
          <w:rFonts w:ascii="Lato Light" w:hAnsi="Lato Light"/>
          <w:sz w:val="22"/>
          <w:szCs w:val="22"/>
        </w:rPr>
        <w:t>Support for ESG and stewardship-related metrics and disclosures.</w:t>
      </w:r>
    </w:p>
    <w:p w14:paraId="64B3FC82" w14:textId="77777777" w:rsidR="008B7B08" w:rsidRPr="006B086A" w:rsidRDefault="008B7B08" w:rsidP="008B7B08">
      <w:pPr>
        <w:pStyle w:val="BodyText1"/>
        <w:numPr>
          <w:ilvl w:val="0"/>
          <w:numId w:val="3"/>
        </w:numPr>
        <w:rPr>
          <w:rFonts w:ascii="Lato Light" w:hAnsi="Lato Light"/>
          <w:sz w:val="22"/>
          <w:szCs w:val="22"/>
        </w:rPr>
      </w:pPr>
      <w:r w:rsidRPr="00965B8C">
        <w:rPr>
          <w:rFonts w:ascii="Lato Light" w:hAnsi="Lato Light"/>
          <w:sz w:val="22"/>
          <w:szCs w:val="22"/>
        </w:rPr>
        <w:t>Support for SFDR, TCFD, and TNFD reporting where required</w:t>
      </w:r>
    </w:p>
    <w:p w14:paraId="67EAEEB3" w14:textId="77777777" w:rsidR="008B7B08" w:rsidRPr="006B086A" w:rsidRDefault="008B7B08" w:rsidP="008B7B08">
      <w:pPr>
        <w:pStyle w:val="BodyText1"/>
        <w:rPr>
          <w:rFonts w:ascii="Lato Light" w:hAnsi="Lato Light"/>
          <w:sz w:val="22"/>
          <w:szCs w:val="22"/>
        </w:rPr>
      </w:pPr>
      <w:r w:rsidRPr="006B086A">
        <w:rPr>
          <w:rFonts w:ascii="Lato Light" w:hAnsi="Lato Light"/>
          <w:sz w:val="22"/>
          <w:szCs w:val="22"/>
        </w:rPr>
        <w:t>Data Integration</w:t>
      </w:r>
    </w:p>
    <w:p w14:paraId="3AD44350" w14:textId="77777777" w:rsidR="008B7B08" w:rsidRPr="006B086A" w:rsidRDefault="008B7B08" w:rsidP="008B7B08">
      <w:pPr>
        <w:pStyle w:val="BodyText1"/>
        <w:numPr>
          <w:ilvl w:val="0"/>
          <w:numId w:val="4"/>
        </w:numPr>
        <w:rPr>
          <w:rFonts w:ascii="Lato Light" w:hAnsi="Lato Light"/>
          <w:sz w:val="22"/>
          <w:szCs w:val="22"/>
        </w:rPr>
      </w:pPr>
      <w:r w:rsidRPr="006B086A">
        <w:rPr>
          <w:rFonts w:ascii="Lato Light" w:hAnsi="Lato Light"/>
          <w:sz w:val="22"/>
          <w:szCs w:val="22"/>
        </w:rPr>
        <w:t>Integration with third-party systems (e.g. custodians, fund admins) to automatically ingest data.</w:t>
      </w:r>
    </w:p>
    <w:p w14:paraId="7C271852" w14:textId="77777777" w:rsidR="008B7B08" w:rsidRDefault="008B7B08" w:rsidP="008B7B08">
      <w:pPr>
        <w:pStyle w:val="BodyText1"/>
        <w:numPr>
          <w:ilvl w:val="0"/>
          <w:numId w:val="4"/>
        </w:numPr>
        <w:rPr>
          <w:rFonts w:ascii="Lato Light" w:hAnsi="Lato Light"/>
          <w:sz w:val="22"/>
          <w:szCs w:val="22"/>
        </w:rPr>
      </w:pPr>
      <w:r w:rsidRPr="006B086A">
        <w:rPr>
          <w:rFonts w:ascii="Lato Light" w:hAnsi="Lato Light"/>
          <w:sz w:val="22"/>
          <w:szCs w:val="22"/>
        </w:rPr>
        <w:t>Reconciliation of data feeds and validation of input data for accuracy.</w:t>
      </w:r>
    </w:p>
    <w:p w14:paraId="02DCEDD7" w14:textId="77777777" w:rsidR="008B7B08" w:rsidRPr="006B086A" w:rsidRDefault="008B7B08" w:rsidP="008B7B08">
      <w:pPr>
        <w:pStyle w:val="BodyText1"/>
        <w:numPr>
          <w:ilvl w:val="0"/>
          <w:numId w:val="4"/>
        </w:numPr>
        <w:rPr>
          <w:rFonts w:ascii="Lato Light" w:hAnsi="Lato Light"/>
          <w:sz w:val="22"/>
          <w:szCs w:val="22"/>
        </w:rPr>
      </w:pPr>
      <w:r w:rsidRPr="00444FBF">
        <w:rPr>
          <w:rFonts w:ascii="Lato Light" w:hAnsi="Lato Light"/>
          <w:sz w:val="22"/>
          <w:szCs w:val="22"/>
        </w:rPr>
        <w:t>Data validation processes and audit logs for change management</w:t>
      </w:r>
    </w:p>
    <w:p w14:paraId="709D01E2" w14:textId="77777777" w:rsidR="008B7B08" w:rsidRPr="006B086A" w:rsidRDefault="008B7B08" w:rsidP="008B7B08">
      <w:pPr>
        <w:pStyle w:val="BodyText1"/>
        <w:numPr>
          <w:ilvl w:val="0"/>
          <w:numId w:val="4"/>
        </w:numPr>
        <w:rPr>
          <w:rFonts w:ascii="Lato Light" w:hAnsi="Lato Light"/>
          <w:sz w:val="22"/>
          <w:szCs w:val="22"/>
        </w:rPr>
      </w:pPr>
      <w:r w:rsidRPr="006B086A">
        <w:rPr>
          <w:rFonts w:ascii="Lato Light" w:hAnsi="Lato Light"/>
          <w:sz w:val="22"/>
          <w:szCs w:val="22"/>
        </w:rPr>
        <w:t>Daily/weekly</w:t>
      </w:r>
      <w:r>
        <w:rPr>
          <w:rFonts w:ascii="Lato Light" w:hAnsi="Lato Light"/>
          <w:sz w:val="22"/>
          <w:szCs w:val="22"/>
        </w:rPr>
        <w:t>/monthly/Quarterly</w:t>
      </w:r>
      <w:r w:rsidRPr="006B086A">
        <w:rPr>
          <w:rFonts w:ascii="Lato Light" w:hAnsi="Lato Light"/>
          <w:sz w:val="22"/>
          <w:szCs w:val="22"/>
        </w:rPr>
        <w:t xml:space="preserve"> automated data refresh where required.</w:t>
      </w:r>
    </w:p>
    <w:p w14:paraId="525E1E75" w14:textId="77777777" w:rsidR="008B7B08" w:rsidRPr="006B086A" w:rsidRDefault="008B7B08" w:rsidP="008B7B08">
      <w:pPr>
        <w:pStyle w:val="BodyText1"/>
        <w:rPr>
          <w:rFonts w:ascii="Lato Light" w:hAnsi="Lato Light"/>
          <w:sz w:val="22"/>
          <w:szCs w:val="22"/>
        </w:rPr>
      </w:pPr>
      <w:r w:rsidRPr="006B086A">
        <w:rPr>
          <w:rFonts w:ascii="Lato Light" w:hAnsi="Lato Light"/>
          <w:sz w:val="22"/>
          <w:szCs w:val="22"/>
        </w:rPr>
        <w:t>Reporting Flexibility</w:t>
      </w:r>
    </w:p>
    <w:p w14:paraId="7FC359DF" w14:textId="77777777" w:rsidR="008B7B08" w:rsidRPr="006B086A" w:rsidRDefault="008B7B08" w:rsidP="008B7B08">
      <w:pPr>
        <w:pStyle w:val="BodyText1"/>
        <w:numPr>
          <w:ilvl w:val="0"/>
          <w:numId w:val="5"/>
        </w:numPr>
        <w:rPr>
          <w:rFonts w:ascii="Lato Light" w:hAnsi="Lato Light"/>
          <w:sz w:val="22"/>
          <w:szCs w:val="22"/>
        </w:rPr>
      </w:pPr>
      <w:r w:rsidRPr="006B086A">
        <w:rPr>
          <w:rFonts w:ascii="Lato Light" w:hAnsi="Lato Light"/>
          <w:sz w:val="22"/>
          <w:szCs w:val="22"/>
        </w:rPr>
        <w:t>Support for evolving templates, branding, regulatory disclosures, and investor requirements.</w:t>
      </w:r>
    </w:p>
    <w:p w14:paraId="045BCB62" w14:textId="77777777" w:rsidR="008B7B08" w:rsidRDefault="008B7B08" w:rsidP="008B7B08">
      <w:pPr>
        <w:pStyle w:val="BodyText1"/>
        <w:numPr>
          <w:ilvl w:val="0"/>
          <w:numId w:val="5"/>
        </w:numPr>
        <w:rPr>
          <w:rFonts w:ascii="Lato Light" w:hAnsi="Lato Light"/>
          <w:sz w:val="22"/>
          <w:szCs w:val="22"/>
        </w:rPr>
      </w:pPr>
      <w:r w:rsidRPr="006B086A">
        <w:rPr>
          <w:rFonts w:ascii="Lato Light" w:hAnsi="Lato Light"/>
          <w:sz w:val="22"/>
          <w:szCs w:val="22"/>
        </w:rPr>
        <w:t>Ability to accommodate new mandates or fund launches with minimal lead time.</w:t>
      </w:r>
    </w:p>
    <w:p w14:paraId="50961C62" w14:textId="77777777" w:rsidR="008B7B08" w:rsidRDefault="008B7B08" w:rsidP="008B7B08">
      <w:pPr>
        <w:pStyle w:val="BodyText1"/>
        <w:numPr>
          <w:ilvl w:val="0"/>
          <w:numId w:val="5"/>
        </w:numPr>
        <w:rPr>
          <w:rFonts w:ascii="Lato Light" w:hAnsi="Lato Light"/>
          <w:sz w:val="22"/>
          <w:szCs w:val="22"/>
        </w:rPr>
      </w:pPr>
      <w:r w:rsidRPr="009F1356">
        <w:rPr>
          <w:rFonts w:ascii="Lato Light" w:hAnsi="Lato Light"/>
          <w:sz w:val="22"/>
          <w:szCs w:val="22"/>
        </w:rPr>
        <w:t>Support for cross-fund and cross-</w:t>
      </w:r>
      <w:r>
        <w:rPr>
          <w:rFonts w:ascii="Lato Light" w:hAnsi="Lato Light"/>
          <w:sz w:val="22"/>
          <w:szCs w:val="22"/>
        </w:rPr>
        <w:t xml:space="preserve">client </w:t>
      </w:r>
      <w:r w:rsidRPr="009F1356">
        <w:rPr>
          <w:rFonts w:ascii="Lato Light" w:hAnsi="Lato Light"/>
          <w:sz w:val="22"/>
          <w:szCs w:val="22"/>
        </w:rPr>
        <w:t>asset consolidated views</w:t>
      </w:r>
    </w:p>
    <w:p w14:paraId="29CBB4C5" w14:textId="77777777" w:rsidR="008B7B08" w:rsidRPr="006B086A" w:rsidRDefault="008B7B08" w:rsidP="008B7B08">
      <w:pPr>
        <w:pStyle w:val="BodyText1"/>
        <w:numPr>
          <w:ilvl w:val="0"/>
          <w:numId w:val="5"/>
        </w:numPr>
        <w:rPr>
          <w:rFonts w:ascii="Lato Light" w:hAnsi="Lato Light"/>
          <w:sz w:val="22"/>
          <w:szCs w:val="22"/>
        </w:rPr>
      </w:pPr>
      <w:r w:rsidRPr="002E6B51">
        <w:rPr>
          <w:rFonts w:ascii="Lato Light" w:hAnsi="Lato Light"/>
          <w:sz w:val="22"/>
          <w:szCs w:val="22"/>
        </w:rPr>
        <w:t>Scalable report configuration through no-code or low-code tools</w:t>
      </w:r>
    </w:p>
    <w:p w14:paraId="06E2A2E4" w14:textId="77777777" w:rsidR="008B7B08" w:rsidRPr="006B086A" w:rsidRDefault="008B7B08" w:rsidP="008B7B08">
      <w:pPr>
        <w:pStyle w:val="BodyText1"/>
        <w:rPr>
          <w:rFonts w:ascii="Lato Light" w:hAnsi="Lato Light"/>
          <w:sz w:val="22"/>
          <w:szCs w:val="22"/>
        </w:rPr>
      </w:pPr>
      <w:r w:rsidRPr="006B086A">
        <w:rPr>
          <w:rFonts w:ascii="Lato Light" w:hAnsi="Lato Light"/>
          <w:sz w:val="22"/>
          <w:szCs w:val="22"/>
        </w:rPr>
        <w:t>Oversight &amp; Engagement Tools</w:t>
      </w:r>
    </w:p>
    <w:p w14:paraId="3F8FB695" w14:textId="77777777" w:rsidR="008B7B08" w:rsidRPr="006B086A" w:rsidRDefault="008B7B08" w:rsidP="008B7B08">
      <w:pPr>
        <w:pStyle w:val="BodyText1"/>
        <w:numPr>
          <w:ilvl w:val="0"/>
          <w:numId w:val="6"/>
        </w:numPr>
        <w:rPr>
          <w:rFonts w:ascii="Lato Light" w:hAnsi="Lato Light"/>
          <w:sz w:val="22"/>
          <w:szCs w:val="22"/>
        </w:rPr>
      </w:pPr>
      <w:r w:rsidRPr="006B086A">
        <w:rPr>
          <w:rFonts w:ascii="Lato Light" w:hAnsi="Lato Light"/>
          <w:sz w:val="22"/>
          <w:szCs w:val="22"/>
        </w:rPr>
        <w:t>Provision of dashboards to track reporting completion, delays, or data issues.</w:t>
      </w:r>
    </w:p>
    <w:p w14:paraId="075C3CFC" w14:textId="77777777" w:rsidR="008B7B08" w:rsidRPr="006B086A" w:rsidRDefault="008B7B08" w:rsidP="008B7B08">
      <w:pPr>
        <w:pStyle w:val="BodyText1"/>
        <w:numPr>
          <w:ilvl w:val="0"/>
          <w:numId w:val="6"/>
        </w:numPr>
        <w:rPr>
          <w:rFonts w:ascii="Lato Light" w:hAnsi="Lato Light"/>
          <w:sz w:val="22"/>
          <w:szCs w:val="22"/>
        </w:rPr>
      </w:pPr>
      <w:r w:rsidRPr="006B086A">
        <w:rPr>
          <w:rFonts w:ascii="Lato Light" w:hAnsi="Lato Light"/>
          <w:sz w:val="22"/>
          <w:szCs w:val="22"/>
        </w:rPr>
        <w:t>Workflow tools to support approval and escalation processes.</w:t>
      </w:r>
    </w:p>
    <w:p w14:paraId="789C54A1" w14:textId="77777777" w:rsidR="008B7B08" w:rsidRDefault="008B7B08" w:rsidP="008B7B08">
      <w:pPr>
        <w:pStyle w:val="BodyText1"/>
        <w:numPr>
          <w:ilvl w:val="0"/>
          <w:numId w:val="6"/>
        </w:numPr>
        <w:rPr>
          <w:rFonts w:ascii="Lato Light" w:hAnsi="Lato Light"/>
          <w:sz w:val="22"/>
          <w:szCs w:val="22"/>
        </w:rPr>
      </w:pPr>
      <w:r w:rsidRPr="006B086A">
        <w:rPr>
          <w:rFonts w:ascii="Lato Light" w:hAnsi="Lato Light"/>
          <w:sz w:val="22"/>
          <w:szCs w:val="22"/>
        </w:rPr>
        <w:lastRenderedPageBreak/>
        <w:t>Audit trails and export functionality for internal oversight.</w:t>
      </w:r>
    </w:p>
    <w:p w14:paraId="20679076" w14:textId="77777777" w:rsidR="008B7B08" w:rsidRPr="00822551" w:rsidRDefault="008B7B08" w:rsidP="008B7B08">
      <w:pPr>
        <w:pStyle w:val="BodyText1"/>
        <w:rPr>
          <w:rFonts w:ascii="Lato Light" w:hAnsi="Lato Light"/>
          <w:sz w:val="22"/>
          <w:szCs w:val="22"/>
        </w:rPr>
      </w:pPr>
      <w:r w:rsidRPr="00822551">
        <w:rPr>
          <w:rFonts w:ascii="Lato Light" w:hAnsi="Lato Light"/>
          <w:sz w:val="22"/>
          <w:szCs w:val="22"/>
        </w:rPr>
        <w:t>Suppliers are expected to:</w:t>
      </w:r>
    </w:p>
    <w:p w14:paraId="401DCEF7" w14:textId="77777777" w:rsidR="008B7B08" w:rsidRPr="00822551" w:rsidRDefault="008B7B08" w:rsidP="008B7B08">
      <w:pPr>
        <w:pStyle w:val="BodyText1"/>
        <w:rPr>
          <w:rFonts w:ascii="Lato Light" w:hAnsi="Lato Light"/>
          <w:sz w:val="22"/>
          <w:szCs w:val="22"/>
        </w:rPr>
      </w:pPr>
      <w:r w:rsidRPr="00822551">
        <w:rPr>
          <w:rFonts w:ascii="Lato Light" w:hAnsi="Lato Light"/>
          <w:sz w:val="22"/>
          <w:szCs w:val="22"/>
        </w:rPr>
        <w:t>Demonstrate advanced, flexible reporting platforms and delivery formats</w:t>
      </w:r>
    </w:p>
    <w:p w14:paraId="5299BA3D" w14:textId="77777777" w:rsidR="008B7B08" w:rsidRPr="00822551" w:rsidRDefault="008B7B08" w:rsidP="008B7B08">
      <w:pPr>
        <w:pStyle w:val="BodyText1"/>
        <w:rPr>
          <w:rFonts w:ascii="Lato Light" w:hAnsi="Lato Light"/>
          <w:sz w:val="22"/>
          <w:szCs w:val="22"/>
        </w:rPr>
      </w:pPr>
      <w:r w:rsidRPr="00822551">
        <w:rPr>
          <w:rFonts w:ascii="Lato Light" w:hAnsi="Lato Light"/>
          <w:sz w:val="22"/>
          <w:szCs w:val="22"/>
        </w:rPr>
        <w:t>Offer reporting aligned to regulatory and client-specific reporting cycles</w:t>
      </w:r>
    </w:p>
    <w:p w14:paraId="6E8A8E33" w14:textId="77777777" w:rsidR="008B7B08" w:rsidRPr="00822551" w:rsidRDefault="008B7B08" w:rsidP="008B7B08">
      <w:pPr>
        <w:pStyle w:val="BodyText1"/>
        <w:rPr>
          <w:rFonts w:ascii="Lato Light" w:hAnsi="Lato Light"/>
          <w:sz w:val="22"/>
          <w:szCs w:val="22"/>
        </w:rPr>
      </w:pPr>
      <w:r w:rsidRPr="00822551">
        <w:rPr>
          <w:rFonts w:ascii="Lato Light" w:hAnsi="Lato Light"/>
          <w:sz w:val="22"/>
          <w:szCs w:val="22"/>
        </w:rPr>
        <w:t>Show integration capabilities with fund administrators, custodians, and performance providers</w:t>
      </w:r>
    </w:p>
    <w:p w14:paraId="547E24C6" w14:textId="77777777" w:rsidR="008B7B08" w:rsidRPr="006B086A" w:rsidRDefault="008B7B08" w:rsidP="008B7B08">
      <w:pPr>
        <w:pStyle w:val="BodyText1"/>
        <w:rPr>
          <w:rFonts w:ascii="Lato Light" w:hAnsi="Lato Light"/>
          <w:sz w:val="22"/>
          <w:szCs w:val="22"/>
        </w:rPr>
      </w:pPr>
      <w:r w:rsidRPr="00822551">
        <w:rPr>
          <w:rFonts w:ascii="Lato Light" w:hAnsi="Lato Light"/>
          <w:sz w:val="22"/>
          <w:szCs w:val="22"/>
        </w:rPr>
        <w:t>Evidence client access tools and transparency features</w:t>
      </w:r>
    </w:p>
    <w:p w14:paraId="0655AFA7" w14:textId="77777777" w:rsidR="008B7B08" w:rsidRPr="007A0508" w:rsidRDefault="008B7B08" w:rsidP="008B7B08">
      <w:pPr>
        <w:pStyle w:val="BodyText1"/>
        <w:rPr>
          <w:rFonts w:ascii="Lato Light" w:hAnsi="Lato Light"/>
          <w:sz w:val="22"/>
          <w:szCs w:val="22"/>
        </w:rPr>
      </w:pPr>
    </w:p>
    <w:p w14:paraId="2040467A" w14:textId="77777777" w:rsidR="008B7B08" w:rsidRPr="007A0508" w:rsidRDefault="008B7B08" w:rsidP="008B7B08">
      <w:pPr>
        <w:pStyle w:val="BodyText1"/>
        <w:rPr>
          <w:rFonts w:ascii="Lato Light" w:hAnsi="Lato Light"/>
          <w:sz w:val="22"/>
          <w:szCs w:val="22"/>
        </w:rPr>
      </w:pPr>
      <w:r w:rsidRPr="007A0508">
        <w:rPr>
          <w:rFonts w:ascii="Lato Light" w:hAnsi="Lato Light"/>
          <w:sz w:val="22"/>
          <w:szCs w:val="22"/>
        </w:rPr>
        <w:t>Lot 3 – Ancillary Services</w:t>
      </w:r>
      <w:r>
        <w:rPr>
          <w:rFonts w:ascii="Lato Light" w:hAnsi="Lato Light"/>
          <w:sz w:val="22"/>
          <w:szCs w:val="22"/>
        </w:rPr>
        <w:t xml:space="preserve"> - </w:t>
      </w:r>
      <w:r w:rsidRPr="00F47116">
        <w:rPr>
          <w:rFonts w:ascii="Lato Light" w:hAnsi="Lato Light"/>
          <w:sz w:val="22"/>
          <w:szCs w:val="22"/>
        </w:rPr>
        <w:t xml:space="preserve">Lot 3 comprises additional </w:t>
      </w:r>
      <w:r>
        <w:rPr>
          <w:rFonts w:ascii="Lato Light" w:hAnsi="Lato Light"/>
          <w:sz w:val="22"/>
          <w:szCs w:val="22"/>
        </w:rPr>
        <w:t>value-added</w:t>
      </w:r>
      <w:r w:rsidRPr="00F47116">
        <w:rPr>
          <w:rFonts w:ascii="Lato Light" w:hAnsi="Lato Light"/>
          <w:sz w:val="22"/>
          <w:szCs w:val="22"/>
        </w:rPr>
        <w:t xml:space="preserve"> services that may be required by the Authority in future. These services will be tendered as part of this </w:t>
      </w:r>
      <w:proofErr w:type="gramStart"/>
      <w:r w:rsidRPr="00F47116">
        <w:rPr>
          <w:rFonts w:ascii="Lato Light" w:hAnsi="Lato Light"/>
          <w:sz w:val="22"/>
          <w:szCs w:val="22"/>
        </w:rPr>
        <w:t>procurement</w:t>
      </w:r>
      <w:r>
        <w:rPr>
          <w:rFonts w:ascii="Lato Light" w:hAnsi="Lato Light"/>
          <w:sz w:val="22"/>
          <w:szCs w:val="22"/>
        </w:rPr>
        <w:t>,</w:t>
      </w:r>
      <w:r w:rsidRPr="00F47116">
        <w:rPr>
          <w:rFonts w:ascii="Lato Light" w:hAnsi="Lato Light"/>
          <w:sz w:val="22"/>
          <w:szCs w:val="22"/>
        </w:rPr>
        <w:t xml:space="preserve"> but</w:t>
      </w:r>
      <w:proofErr w:type="gramEnd"/>
      <w:r w:rsidRPr="00F47116">
        <w:rPr>
          <w:rFonts w:ascii="Lato Light" w:hAnsi="Lato Light"/>
          <w:sz w:val="22"/>
          <w:szCs w:val="22"/>
        </w:rPr>
        <w:t xml:space="preserve"> are not guaranteed to be implemented. The inclusion of Lot 3 is intended to support strategic flexibility and operational scalability</w:t>
      </w:r>
    </w:p>
    <w:p w14:paraId="5CDC819F" w14:textId="77777777" w:rsidR="008B7B08" w:rsidRPr="007A0508" w:rsidRDefault="008B7B08" w:rsidP="008B7B08">
      <w:pPr>
        <w:pStyle w:val="BodyText1"/>
        <w:rPr>
          <w:rFonts w:ascii="Lato Light" w:hAnsi="Lato Light"/>
          <w:sz w:val="22"/>
          <w:szCs w:val="22"/>
        </w:rPr>
      </w:pPr>
    </w:p>
    <w:p w14:paraId="12659FA9" w14:textId="77777777" w:rsidR="008B7B08" w:rsidRDefault="008B7B08" w:rsidP="008B7B08">
      <w:pPr>
        <w:pStyle w:val="BodyText1"/>
        <w:rPr>
          <w:rFonts w:ascii="Lato Light" w:hAnsi="Lato Light"/>
          <w:sz w:val="22"/>
          <w:szCs w:val="22"/>
        </w:rPr>
      </w:pPr>
      <w:r w:rsidRPr="007A0508">
        <w:rPr>
          <w:rFonts w:ascii="Lato Light" w:hAnsi="Lato Light"/>
          <w:sz w:val="22"/>
          <w:szCs w:val="22"/>
        </w:rPr>
        <w:t>Performance Measurement and Attribution</w:t>
      </w:r>
    </w:p>
    <w:p w14:paraId="5FAAC346" w14:textId="77777777" w:rsidR="008B7B08" w:rsidRDefault="008B7B08" w:rsidP="008B7B08">
      <w:pPr>
        <w:pStyle w:val="BodyText1"/>
        <w:numPr>
          <w:ilvl w:val="0"/>
          <w:numId w:val="13"/>
        </w:numPr>
        <w:rPr>
          <w:rFonts w:ascii="Lato Light" w:hAnsi="Lato Light"/>
          <w:sz w:val="22"/>
          <w:szCs w:val="22"/>
        </w:rPr>
      </w:pPr>
      <w:r w:rsidRPr="000E36AD">
        <w:rPr>
          <w:rFonts w:ascii="Lato Light" w:hAnsi="Lato Light"/>
          <w:sz w:val="22"/>
          <w:szCs w:val="22"/>
        </w:rPr>
        <w:t>Delivery of absolute and relative performance figures across portfolio and benchmarks</w:t>
      </w:r>
    </w:p>
    <w:p w14:paraId="35124D11" w14:textId="77777777" w:rsidR="008B7B08" w:rsidRPr="00D743BC" w:rsidRDefault="008B7B08" w:rsidP="008B7B08">
      <w:pPr>
        <w:pStyle w:val="BodyText1"/>
        <w:numPr>
          <w:ilvl w:val="0"/>
          <w:numId w:val="13"/>
        </w:numPr>
        <w:rPr>
          <w:rFonts w:ascii="Lato Light" w:hAnsi="Lato Light"/>
          <w:sz w:val="22"/>
          <w:szCs w:val="22"/>
        </w:rPr>
      </w:pPr>
      <w:r w:rsidRPr="00D743BC">
        <w:rPr>
          <w:rFonts w:ascii="Lato Light" w:hAnsi="Lato Light"/>
          <w:sz w:val="22"/>
          <w:szCs w:val="22"/>
        </w:rPr>
        <w:t>Daily and monthly performance calculations at total fund, asset class, and security level.</w:t>
      </w:r>
    </w:p>
    <w:p w14:paraId="1A234997" w14:textId="77777777" w:rsidR="008B7B08" w:rsidRPr="00D743BC" w:rsidRDefault="008B7B08" w:rsidP="008B7B08">
      <w:pPr>
        <w:pStyle w:val="BodyText1"/>
        <w:numPr>
          <w:ilvl w:val="0"/>
          <w:numId w:val="13"/>
        </w:numPr>
        <w:rPr>
          <w:rFonts w:ascii="Lato Light" w:hAnsi="Lato Light"/>
          <w:sz w:val="22"/>
          <w:szCs w:val="22"/>
        </w:rPr>
      </w:pPr>
      <w:r w:rsidRPr="00D743BC">
        <w:rPr>
          <w:rFonts w:ascii="Lato Light" w:hAnsi="Lato Light"/>
          <w:sz w:val="22"/>
          <w:szCs w:val="22"/>
        </w:rPr>
        <w:t>Time-weighted and money-weighted returns with appropriate benchmarks.</w:t>
      </w:r>
    </w:p>
    <w:p w14:paraId="56CAD31C" w14:textId="77777777" w:rsidR="008B7B08" w:rsidRDefault="008B7B08" w:rsidP="008B7B08">
      <w:pPr>
        <w:pStyle w:val="BodyText1"/>
        <w:numPr>
          <w:ilvl w:val="0"/>
          <w:numId w:val="13"/>
        </w:numPr>
        <w:rPr>
          <w:rFonts w:ascii="Lato Light" w:hAnsi="Lato Light"/>
          <w:sz w:val="22"/>
          <w:szCs w:val="22"/>
        </w:rPr>
      </w:pPr>
      <w:r>
        <w:rPr>
          <w:rFonts w:ascii="Lato Light" w:hAnsi="Lato Light"/>
          <w:sz w:val="22"/>
          <w:szCs w:val="22"/>
        </w:rPr>
        <w:t>A</w:t>
      </w:r>
      <w:r w:rsidRPr="00D743BC">
        <w:rPr>
          <w:rFonts w:ascii="Lato Light" w:hAnsi="Lato Light"/>
          <w:sz w:val="22"/>
          <w:szCs w:val="22"/>
        </w:rPr>
        <w:t>ttribution models to support manager evaluation.</w:t>
      </w:r>
    </w:p>
    <w:p w14:paraId="3E11CE49" w14:textId="77777777" w:rsidR="008B7B08" w:rsidRPr="007A0508" w:rsidRDefault="008B7B08" w:rsidP="008B7B08">
      <w:pPr>
        <w:pStyle w:val="BodyText1"/>
        <w:numPr>
          <w:ilvl w:val="0"/>
          <w:numId w:val="13"/>
        </w:numPr>
        <w:rPr>
          <w:rFonts w:ascii="Lato Light" w:hAnsi="Lato Light"/>
          <w:sz w:val="22"/>
          <w:szCs w:val="22"/>
        </w:rPr>
      </w:pPr>
      <w:r w:rsidRPr="00D743BC">
        <w:rPr>
          <w:rFonts w:ascii="Lato Light" w:hAnsi="Lato Light"/>
          <w:sz w:val="22"/>
          <w:szCs w:val="22"/>
        </w:rPr>
        <w:t>Performance dashboards and historical performance reports.</w:t>
      </w:r>
    </w:p>
    <w:p w14:paraId="4C239CB0" w14:textId="77777777" w:rsidR="008B7B08" w:rsidRPr="007A0508" w:rsidRDefault="008B7B08" w:rsidP="008B7B08">
      <w:pPr>
        <w:pStyle w:val="BodyText1"/>
        <w:rPr>
          <w:rFonts w:ascii="Lato Light" w:hAnsi="Lato Light"/>
          <w:sz w:val="22"/>
          <w:szCs w:val="22"/>
        </w:rPr>
      </w:pPr>
      <w:r w:rsidRPr="007A0508">
        <w:rPr>
          <w:rFonts w:ascii="Lato Light" w:hAnsi="Lato Light"/>
          <w:sz w:val="22"/>
          <w:szCs w:val="22"/>
        </w:rPr>
        <w:t>Fund Compliance and Breach Monitoring</w:t>
      </w:r>
    </w:p>
    <w:p w14:paraId="0D3EE16F" w14:textId="77777777" w:rsidR="008B7B08" w:rsidRPr="0023520B" w:rsidRDefault="008B7B08" w:rsidP="008B7B08">
      <w:pPr>
        <w:pStyle w:val="BodyText1"/>
        <w:numPr>
          <w:ilvl w:val="0"/>
          <w:numId w:val="14"/>
        </w:numPr>
        <w:rPr>
          <w:rFonts w:ascii="Lato Light" w:hAnsi="Lato Light"/>
          <w:sz w:val="22"/>
          <w:szCs w:val="22"/>
        </w:rPr>
      </w:pPr>
      <w:r w:rsidRPr="0023520B">
        <w:rPr>
          <w:rFonts w:ascii="Lato Light" w:hAnsi="Lato Light"/>
          <w:sz w:val="22"/>
          <w:szCs w:val="22"/>
        </w:rPr>
        <w:t>Setup and maintenance of investment compliance rules based on fund prospectuses and mandates.</w:t>
      </w:r>
    </w:p>
    <w:p w14:paraId="405B1C77" w14:textId="77777777" w:rsidR="008B7B08" w:rsidRPr="0023520B" w:rsidRDefault="008B7B08" w:rsidP="008B7B08">
      <w:pPr>
        <w:pStyle w:val="BodyText1"/>
        <w:numPr>
          <w:ilvl w:val="0"/>
          <w:numId w:val="14"/>
        </w:numPr>
        <w:rPr>
          <w:rFonts w:ascii="Lato Light" w:hAnsi="Lato Light"/>
          <w:sz w:val="22"/>
          <w:szCs w:val="22"/>
        </w:rPr>
      </w:pPr>
      <w:r w:rsidRPr="0023520B">
        <w:rPr>
          <w:rFonts w:ascii="Lato Light" w:hAnsi="Lato Light"/>
          <w:sz w:val="22"/>
          <w:szCs w:val="22"/>
        </w:rPr>
        <w:t>Daily automated breach checks against key metrics (e.g. issuer concentration, duration, credit rating).</w:t>
      </w:r>
    </w:p>
    <w:p w14:paraId="025FE377" w14:textId="77777777" w:rsidR="008B7B08" w:rsidRPr="0023520B" w:rsidRDefault="008B7B08" w:rsidP="008B7B08">
      <w:pPr>
        <w:pStyle w:val="BodyText1"/>
        <w:numPr>
          <w:ilvl w:val="0"/>
          <w:numId w:val="14"/>
        </w:numPr>
        <w:rPr>
          <w:rFonts w:ascii="Lato Light" w:hAnsi="Lato Light"/>
          <w:sz w:val="22"/>
          <w:szCs w:val="22"/>
        </w:rPr>
      </w:pPr>
      <w:r w:rsidRPr="0023520B">
        <w:rPr>
          <w:rFonts w:ascii="Lato Light" w:hAnsi="Lato Light"/>
          <w:sz w:val="22"/>
          <w:szCs w:val="22"/>
        </w:rPr>
        <w:t>Alerts, reporting, and audit trails for compliance monitoring.</w:t>
      </w:r>
    </w:p>
    <w:p w14:paraId="33A604BA" w14:textId="77777777" w:rsidR="008B7B08" w:rsidRDefault="008B7B08" w:rsidP="008B7B08">
      <w:pPr>
        <w:pStyle w:val="BodyText1"/>
        <w:numPr>
          <w:ilvl w:val="0"/>
          <w:numId w:val="14"/>
        </w:numPr>
        <w:rPr>
          <w:rFonts w:ascii="Lato Light" w:hAnsi="Lato Light"/>
          <w:sz w:val="22"/>
          <w:szCs w:val="22"/>
        </w:rPr>
      </w:pPr>
      <w:r w:rsidRPr="0023520B">
        <w:rPr>
          <w:rFonts w:ascii="Lato Light" w:hAnsi="Lato Light"/>
          <w:sz w:val="22"/>
          <w:szCs w:val="22"/>
        </w:rPr>
        <w:t>Workflow and resolution tools to track breach resolution and reporting obligations.</w:t>
      </w:r>
    </w:p>
    <w:p w14:paraId="03102BC4" w14:textId="77777777" w:rsidR="008B7B08" w:rsidRPr="007A0508" w:rsidRDefault="008B7B08" w:rsidP="008B7B08">
      <w:pPr>
        <w:pStyle w:val="BodyText1"/>
        <w:rPr>
          <w:rFonts w:ascii="Lato Light" w:hAnsi="Lato Light"/>
          <w:sz w:val="22"/>
          <w:szCs w:val="22"/>
        </w:rPr>
      </w:pPr>
      <w:r w:rsidRPr="007A0508">
        <w:rPr>
          <w:rFonts w:ascii="Lato Light" w:hAnsi="Lato Light"/>
          <w:sz w:val="22"/>
          <w:szCs w:val="22"/>
        </w:rPr>
        <w:t>Suppliers must clearly indicate the services offered within this Lot.</w:t>
      </w:r>
    </w:p>
    <w:p w14:paraId="1E6BC0AB" w14:textId="77777777" w:rsidR="008B7B08" w:rsidRPr="007A0508" w:rsidRDefault="008B7B08" w:rsidP="008B7B08">
      <w:pPr>
        <w:pStyle w:val="BodyText1"/>
        <w:rPr>
          <w:rFonts w:ascii="Lato Light" w:hAnsi="Lato Light"/>
          <w:sz w:val="22"/>
          <w:szCs w:val="22"/>
        </w:rPr>
      </w:pPr>
      <w:r w:rsidRPr="007A0508">
        <w:rPr>
          <w:rFonts w:ascii="Lato Light" w:hAnsi="Lato Light"/>
          <w:sz w:val="22"/>
          <w:szCs w:val="22"/>
        </w:rPr>
        <w:t>Suppliers are expected to:</w:t>
      </w:r>
    </w:p>
    <w:p w14:paraId="26CB1806" w14:textId="77777777" w:rsidR="008B7B08" w:rsidRPr="007A0508" w:rsidRDefault="008B7B08" w:rsidP="008B7B08">
      <w:pPr>
        <w:pStyle w:val="BodyText1"/>
        <w:rPr>
          <w:rFonts w:ascii="Lato Light" w:hAnsi="Lato Light"/>
          <w:sz w:val="22"/>
          <w:szCs w:val="22"/>
        </w:rPr>
      </w:pPr>
      <w:r w:rsidRPr="007A0508">
        <w:rPr>
          <w:rFonts w:ascii="Lato Light" w:hAnsi="Lato Light"/>
          <w:sz w:val="22"/>
          <w:szCs w:val="22"/>
        </w:rPr>
        <w:t>Demonstrate specialist expertise and systems in respective service areas</w:t>
      </w:r>
    </w:p>
    <w:p w14:paraId="586555A0" w14:textId="77777777" w:rsidR="008B7B08" w:rsidRPr="007A0508" w:rsidRDefault="008B7B08" w:rsidP="008B7B08">
      <w:pPr>
        <w:pStyle w:val="BodyText1"/>
        <w:rPr>
          <w:rFonts w:ascii="Lato Light" w:hAnsi="Lato Light"/>
          <w:sz w:val="22"/>
          <w:szCs w:val="22"/>
        </w:rPr>
      </w:pPr>
      <w:r w:rsidRPr="007A0508">
        <w:rPr>
          <w:rFonts w:ascii="Lato Light" w:hAnsi="Lato Light"/>
          <w:sz w:val="22"/>
          <w:szCs w:val="22"/>
        </w:rPr>
        <w:t>Show integration ability with other vendors or platforms</w:t>
      </w:r>
    </w:p>
    <w:p w14:paraId="4292C4D9" w14:textId="77777777" w:rsidR="008B7B08" w:rsidRPr="007A0508" w:rsidRDefault="008B7B08" w:rsidP="008B7B08">
      <w:pPr>
        <w:pStyle w:val="BodyText1"/>
        <w:rPr>
          <w:rFonts w:ascii="Lato Light" w:hAnsi="Lato Light"/>
          <w:sz w:val="22"/>
          <w:szCs w:val="22"/>
        </w:rPr>
      </w:pPr>
      <w:r w:rsidRPr="007A0508">
        <w:rPr>
          <w:rFonts w:ascii="Lato Light" w:hAnsi="Lato Light"/>
          <w:sz w:val="22"/>
          <w:szCs w:val="22"/>
        </w:rPr>
        <w:t>Provide examples of existing client service models and SLAs</w:t>
      </w:r>
    </w:p>
    <w:p w14:paraId="02C9EDE4" w14:textId="5F715F99" w:rsidR="003D3277" w:rsidRPr="004D7E5F" w:rsidRDefault="008B7B08" w:rsidP="00AA7C59">
      <w:pPr>
        <w:pBdr>
          <w:top w:val="nil"/>
          <w:left w:val="nil"/>
          <w:bottom w:val="nil"/>
          <w:right w:val="nil"/>
          <w:between w:val="nil"/>
        </w:pBdr>
        <w:tabs>
          <w:tab w:val="left" w:pos="709"/>
        </w:tabs>
        <w:spacing w:before="120" w:after="120" w:line="240" w:lineRule="auto"/>
        <w:rPr>
          <w:rFonts w:ascii="Arial" w:eastAsia="Arial" w:hAnsi="Arial" w:cs="Arial"/>
          <w:color w:val="000000"/>
          <w:sz w:val="24"/>
          <w:szCs w:val="24"/>
        </w:rPr>
      </w:pPr>
      <w:r w:rsidRPr="007A0508">
        <w:rPr>
          <w:rFonts w:ascii="Lato Light" w:hAnsi="Lato Light"/>
        </w:rPr>
        <w:lastRenderedPageBreak/>
        <w:t>Meet regulatory and data governance expectations</w:t>
      </w:r>
    </w:p>
    <w:p w14:paraId="654EDB89" w14:textId="676798E0" w:rsidR="00433FA5" w:rsidRPr="004D7E5F" w:rsidRDefault="00433FA5" w:rsidP="00433FA5">
      <w:pPr>
        <w:pBdr>
          <w:top w:val="nil"/>
          <w:left w:val="nil"/>
          <w:bottom w:val="nil"/>
          <w:right w:val="nil"/>
          <w:between w:val="nil"/>
        </w:pBdr>
        <w:tabs>
          <w:tab w:val="left" w:pos="709"/>
        </w:tabs>
        <w:spacing w:before="120" w:after="120" w:line="240" w:lineRule="auto"/>
        <w:rPr>
          <w:rFonts w:ascii="Arial" w:eastAsia="Arial" w:hAnsi="Arial" w:cs="Arial"/>
          <w:color w:val="000000"/>
          <w:sz w:val="24"/>
          <w:szCs w:val="24"/>
        </w:rPr>
      </w:pPr>
    </w:p>
    <w:p w14:paraId="0C60A6F7" w14:textId="77777777" w:rsidR="00433FA5" w:rsidRPr="004D7E5F" w:rsidRDefault="00433FA5" w:rsidP="00433FA5">
      <w:pPr>
        <w:pBdr>
          <w:top w:val="nil"/>
          <w:left w:val="nil"/>
          <w:bottom w:val="nil"/>
          <w:right w:val="nil"/>
          <w:between w:val="nil"/>
        </w:pBdr>
        <w:tabs>
          <w:tab w:val="left" w:pos="709"/>
        </w:tabs>
        <w:spacing w:before="120" w:after="120" w:line="240" w:lineRule="auto"/>
        <w:rPr>
          <w:rFonts w:ascii="Arial" w:eastAsia="Arial" w:hAnsi="Arial" w:cs="Arial"/>
          <w:color w:val="000000"/>
          <w:sz w:val="24"/>
          <w:szCs w:val="24"/>
        </w:rPr>
      </w:pPr>
    </w:p>
    <w:p w14:paraId="00000011" w14:textId="3AFFB504" w:rsidR="00862D52" w:rsidRPr="004D7E5F" w:rsidRDefault="00862D52" w:rsidP="00433FA5">
      <w:pPr>
        <w:pBdr>
          <w:top w:val="nil"/>
          <w:left w:val="nil"/>
          <w:bottom w:val="nil"/>
          <w:right w:val="nil"/>
          <w:between w:val="nil"/>
        </w:pBdr>
        <w:tabs>
          <w:tab w:val="left" w:pos="709"/>
        </w:tabs>
        <w:spacing w:before="120" w:after="120" w:line="240" w:lineRule="auto"/>
        <w:rPr>
          <w:rFonts w:ascii="Arial" w:eastAsia="Arial" w:hAnsi="Arial" w:cs="Arial"/>
          <w:color w:val="000000"/>
          <w:sz w:val="24"/>
          <w:szCs w:val="24"/>
        </w:rPr>
      </w:pPr>
    </w:p>
    <w:sectPr w:rsidR="00862D52" w:rsidRPr="004D7E5F">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E742C" w14:textId="77777777" w:rsidR="0049346F" w:rsidRDefault="0049346F">
      <w:pPr>
        <w:spacing w:after="0" w:line="240" w:lineRule="auto"/>
      </w:pPr>
      <w:r>
        <w:separator/>
      </w:r>
    </w:p>
  </w:endnote>
  <w:endnote w:type="continuationSeparator" w:id="0">
    <w:p w14:paraId="2611FAF8" w14:textId="77777777" w:rsidR="0049346F" w:rsidRDefault="00493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Neue Light">
    <w:altName w:val="Arial Nova Light"/>
    <w:charset w:val="00"/>
    <w:family w:val="auto"/>
    <w:pitch w:val="variable"/>
    <w:sig w:usb0="A00002FF" w:usb1="5000205B" w:usb2="00000002" w:usb3="00000000" w:csb0="00000007"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05184" w14:textId="47780FC8" w:rsidR="006608F7" w:rsidRDefault="00237C10">
    <w:pPr>
      <w:pStyle w:val="Footer"/>
    </w:pPr>
    <w:r>
      <w:rPr>
        <w:noProof/>
      </w:rPr>
      <mc:AlternateContent>
        <mc:Choice Requires="wps">
          <w:drawing>
            <wp:anchor distT="0" distB="0" distL="0" distR="0" simplePos="0" relativeHeight="251659264" behindDoc="0" locked="0" layoutInCell="1" allowOverlap="1" wp14:anchorId="640255E7" wp14:editId="1EDE7D46">
              <wp:simplePos x="635" y="635"/>
              <wp:positionH relativeFrom="page">
                <wp:align>left</wp:align>
              </wp:positionH>
              <wp:positionV relativeFrom="page">
                <wp:align>bottom</wp:align>
              </wp:positionV>
              <wp:extent cx="1470025" cy="368935"/>
              <wp:effectExtent l="0" t="0" r="15875" b="0"/>
              <wp:wrapNone/>
              <wp:docPr id="561331924" name="Text Box 2"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68935"/>
                      </a:xfrm>
                      <a:prstGeom prst="rect">
                        <a:avLst/>
                      </a:prstGeom>
                      <a:noFill/>
                      <a:ln>
                        <a:noFill/>
                      </a:ln>
                    </wps:spPr>
                    <wps:txbx>
                      <w:txbxContent>
                        <w:p w14:paraId="1E796B7D" w14:textId="331D6231" w:rsidR="00237C10" w:rsidRPr="00237C10" w:rsidRDefault="00237C10" w:rsidP="00237C10">
                          <w:pPr>
                            <w:spacing w:after="0"/>
                            <w:rPr>
                              <w:noProof/>
                              <w:color w:val="000000"/>
                              <w:sz w:val="20"/>
                              <w:szCs w:val="20"/>
                            </w:rPr>
                          </w:pPr>
                          <w:r w:rsidRPr="00237C10">
                            <w:rPr>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40255E7" id="_x0000_t202" coordsize="21600,21600" o:spt="202" path="m,l,21600r21600,l21600,xe">
              <v:stroke joinstyle="miter"/>
              <v:path gradientshapeok="t" o:connecttype="rect"/>
            </v:shapetype>
            <v:shape id="Text Box 2" o:spid="_x0000_s1026" type="#_x0000_t202" alt="Unrestricted Document" style="position:absolute;margin-left:0;margin-top:0;width:115.75pt;height:29.0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" filled="f" stroked="f">
              <v:textbox style="mso-fit-shape-to-text:t" inset="20pt,0,0,15pt">
                <w:txbxContent>
                  <w:p w14:paraId="1E796B7D" w14:textId="331D6231" w:rsidR="00237C10" w:rsidRPr="00237C10" w:rsidRDefault="00237C10" w:rsidP="00237C10">
                    <w:pPr>
                      <w:spacing w:after="0"/>
                      <w:rPr>
                        <w:noProof/>
                        <w:color w:val="000000"/>
                        <w:sz w:val="20"/>
                        <w:szCs w:val="20"/>
                      </w:rPr>
                    </w:pPr>
                    <w:r w:rsidRPr="00237C10">
                      <w:rPr>
                        <w:noProof/>
                        <w:color w:val="000000"/>
                        <w:sz w:val="20"/>
                        <w:szCs w:val="20"/>
                      </w:rPr>
                      <w:t>Unrestricted Document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4F77C" w14:textId="28728B66" w:rsidR="00BB7E7D" w:rsidRDefault="00237C10">
    <w:pPr>
      <w:tabs>
        <w:tab w:val="center" w:pos="4513"/>
        <w:tab w:val="right" w:pos="9026"/>
      </w:tabs>
      <w:spacing w:after="0"/>
      <w:rPr>
        <w:rFonts w:ascii="Arial" w:eastAsia="Arial" w:hAnsi="Arial" w:cs="Arial"/>
        <w:color w:val="BFBFBF"/>
        <w:sz w:val="20"/>
        <w:szCs w:val="20"/>
      </w:rPr>
    </w:pPr>
    <w:r>
      <w:rPr>
        <w:rFonts w:ascii="Arial" w:eastAsia="Arial" w:hAnsi="Arial" w:cs="Arial"/>
        <w:noProof/>
        <w:color w:val="BFBFBF"/>
        <w:sz w:val="20"/>
        <w:szCs w:val="20"/>
      </w:rPr>
      <mc:AlternateContent>
        <mc:Choice Requires="wps">
          <w:drawing>
            <wp:anchor distT="0" distB="0" distL="0" distR="0" simplePos="0" relativeHeight="251660288" behindDoc="0" locked="0" layoutInCell="1" allowOverlap="1" wp14:anchorId="4D5A995A" wp14:editId="7FE2BE43">
              <wp:simplePos x="635" y="635"/>
              <wp:positionH relativeFrom="page">
                <wp:align>left</wp:align>
              </wp:positionH>
              <wp:positionV relativeFrom="page">
                <wp:align>bottom</wp:align>
              </wp:positionV>
              <wp:extent cx="1470025" cy="368935"/>
              <wp:effectExtent l="0" t="0" r="15875" b="0"/>
              <wp:wrapNone/>
              <wp:docPr id="1716543278" name="Text Box 3"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68935"/>
                      </a:xfrm>
                      <a:prstGeom prst="rect">
                        <a:avLst/>
                      </a:prstGeom>
                      <a:noFill/>
                      <a:ln>
                        <a:noFill/>
                      </a:ln>
                    </wps:spPr>
                    <wps:txbx>
                      <w:txbxContent>
                        <w:p w14:paraId="5B3095F5" w14:textId="71F5B596" w:rsidR="00237C10" w:rsidRPr="00237C10" w:rsidRDefault="00237C10" w:rsidP="00237C10">
                          <w:pPr>
                            <w:spacing w:after="0"/>
                            <w:rPr>
                              <w:noProof/>
                              <w:color w:val="000000"/>
                              <w:sz w:val="20"/>
                              <w:szCs w:val="20"/>
                            </w:rPr>
                          </w:pPr>
                          <w:r w:rsidRPr="00237C10">
                            <w:rPr>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D5A995A" id="_x0000_t202" coordsize="21600,21600" o:spt="202" path="m,l,21600r21600,l21600,xe">
              <v:stroke joinstyle="miter"/>
              <v:path gradientshapeok="t" o:connecttype="rect"/>
            </v:shapetype>
            <v:shape id="Text Box 3" o:spid="_x0000_s1027" type="#_x0000_t202" alt="Unrestricted Document" style="position:absolute;margin-left:0;margin-top:0;width:115.75pt;height:29.0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" filled="f" stroked="f">
              <v:textbox style="mso-fit-shape-to-text:t" inset="20pt,0,0,15pt">
                <w:txbxContent>
                  <w:p w14:paraId="5B3095F5" w14:textId="71F5B596" w:rsidR="00237C10" w:rsidRPr="00237C10" w:rsidRDefault="00237C10" w:rsidP="00237C10">
                    <w:pPr>
                      <w:spacing w:after="0"/>
                      <w:rPr>
                        <w:noProof/>
                        <w:color w:val="000000"/>
                        <w:sz w:val="20"/>
                        <w:szCs w:val="20"/>
                      </w:rPr>
                    </w:pPr>
                    <w:r w:rsidRPr="00237C10">
                      <w:rPr>
                        <w:noProof/>
                        <w:color w:val="000000"/>
                        <w:sz w:val="20"/>
                        <w:szCs w:val="20"/>
                      </w:rPr>
                      <w:t>Unrestricted Document</w:t>
                    </w:r>
                  </w:p>
                </w:txbxContent>
              </v:textbox>
              <w10:wrap anchorx="page" anchory="page"/>
            </v:shape>
          </w:pict>
        </mc:Fallback>
      </mc:AlternateContent>
    </w:r>
  </w:p>
  <w:p w14:paraId="00000014" w14:textId="025FD63E" w:rsidR="00862D52" w:rsidRDefault="00170089">
    <w:pPr>
      <w:tabs>
        <w:tab w:val="center" w:pos="4513"/>
        <w:tab w:val="right" w:pos="9026"/>
      </w:tabs>
      <w:spacing w:after="0"/>
      <w:rPr>
        <w:rFonts w:ascii="Arial" w:eastAsia="Arial" w:hAnsi="Arial" w:cs="Arial"/>
        <w:color w:val="BFBFBF"/>
        <w:sz w:val="20"/>
        <w:szCs w:val="20"/>
      </w:rPr>
    </w:pPr>
    <w:r>
      <w:rPr>
        <w:rFonts w:ascii="Arial" w:eastAsia="Arial" w:hAnsi="Arial" w:cs="Arial"/>
        <w:color w:val="BFBFBF"/>
        <w:sz w:val="20"/>
        <w:szCs w:val="20"/>
      </w:rPr>
      <w:t>v.</w:t>
    </w:r>
    <w:r w:rsidR="0074394F">
      <w:rPr>
        <w:rFonts w:ascii="Arial" w:eastAsia="Arial" w:hAnsi="Arial" w:cs="Arial"/>
        <w:color w:val="BFBFBF"/>
        <w:sz w:val="20"/>
        <w:szCs w:val="20"/>
      </w:rPr>
      <w:t>1.</w:t>
    </w:r>
    <w:r w:rsidR="00830066">
      <w:rPr>
        <w:rFonts w:ascii="Arial" w:eastAsia="Arial" w:hAnsi="Arial" w:cs="Arial"/>
        <w:color w:val="BFBFBF"/>
        <w:sz w:val="20"/>
        <w:szCs w:val="20"/>
      </w:rPr>
      <w:t>3</w:t>
    </w:r>
    <w:r w:rsidR="008A6A16">
      <w:rPr>
        <w:rFonts w:ascii="Arial" w:eastAsia="Arial" w:hAnsi="Arial" w:cs="Arial"/>
        <w:color w:val="BFBFBF"/>
        <w:sz w:val="20"/>
        <w:szCs w:val="20"/>
      </w:rPr>
      <w:tab/>
      <w:t xml:space="preserve">                                           </w:t>
    </w:r>
  </w:p>
  <w:p w14:paraId="00000015" w14:textId="439FA9B9" w:rsidR="00862D52" w:rsidRDefault="008A6A16">
    <w:pPr>
      <w:pBdr>
        <w:top w:val="nil"/>
        <w:left w:val="nil"/>
        <w:bottom w:val="nil"/>
        <w:right w:val="nil"/>
        <w:between w:val="nil"/>
      </w:pBdr>
      <w:tabs>
        <w:tab w:val="center" w:pos="4513"/>
        <w:tab w:val="right" w:pos="9026"/>
      </w:tabs>
      <w:spacing w:after="0" w:line="240" w:lineRule="auto"/>
      <w:rPr>
        <w:rFonts w:ascii="Arial" w:eastAsia="Arial" w:hAnsi="Arial" w:cs="Arial"/>
        <w:color w:val="BFBFBF"/>
        <w:sz w:val="20"/>
        <w:szCs w:val="20"/>
      </w:rPr>
    </w:pPr>
    <w:r>
      <w:rPr>
        <w:rFonts w:ascii="Arial" w:eastAsia="Arial" w:hAnsi="Arial" w:cs="Arial"/>
        <w:color w:val="BFBFBF"/>
        <w:sz w:val="20"/>
        <w:szCs w:val="20"/>
      </w:rPr>
      <w:tab/>
    </w:r>
    <w:r>
      <w:rPr>
        <w:rFonts w:ascii="Arial" w:eastAsia="Arial" w:hAnsi="Arial" w:cs="Arial"/>
        <w:color w:val="BFBFBF"/>
        <w:sz w:val="20"/>
        <w:szCs w:val="20"/>
      </w:rPr>
      <w:tab/>
      <w:t xml:space="preserve"> </w:t>
    </w:r>
    <w:r>
      <w:rPr>
        <w:rFonts w:ascii="Arial" w:eastAsia="Arial" w:hAnsi="Arial" w:cs="Arial"/>
        <w:color w:val="BFBFBF"/>
        <w:sz w:val="20"/>
        <w:szCs w:val="20"/>
      </w:rPr>
      <w:fldChar w:fldCharType="begin"/>
    </w:r>
    <w:r>
      <w:rPr>
        <w:rFonts w:ascii="Arial" w:eastAsia="Arial" w:hAnsi="Arial" w:cs="Arial"/>
        <w:color w:val="BFBFBF"/>
        <w:sz w:val="20"/>
        <w:szCs w:val="20"/>
      </w:rPr>
      <w:instrText>PAGE</w:instrText>
    </w:r>
    <w:r>
      <w:rPr>
        <w:rFonts w:ascii="Arial" w:eastAsia="Arial" w:hAnsi="Arial" w:cs="Arial"/>
        <w:color w:val="BFBFBF"/>
        <w:sz w:val="20"/>
        <w:szCs w:val="20"/>
      </w:rPr>
      <w:fldChar w:fldCharType="separate"/>
    </w:r>
    <w:r w:rsidR="004D7E5F">
      <w:rPr>
        <w:rFonts w:ascii="Arial" w:eastAsia="Arial" w:hAnsi="Arial" w:cs="Arial"/>
        <w:noProof/>
        <w:color w:val="BFBFBF"/>
        <w:sz w:val="20"/>
        <w:szCs w:val="20"/>
      </w:rPr>
      <w:t>1</w:t>
    </w:r>
    <w:r>
      <w:rPr>
        <w:rFonts w:ascii="Arial" w:eastAsia="Arial" w:hAnsi="Arial" w:cs="Arial"/>
        <w:color w:val="BFBFBF"/>
        <w:sz w:val="20"/>
        <w:szCs w:val="20"/>
      </w:rPr>
      <w:fldChar w:fldCharType="end"/>
    </w:r>
  </w:p>
  <w:p w14:paraId="00000016" w14:textId="6DB097F5" w:rsidR="00862D52" w:rsidRPr="00D47040" w:rsidRDefault="008A6A16">
    <w:pPr>
      <w:spacing w:after="0" w:line="240" w:lineRule="auto"/>
      <w:jc w:val="both"/>
      <w:rPr>
        <w:rFonts w:ascii="Arial" w:hAnsi="Arial" w:cs="Arial"/>
        <w:color w:val="000000"/>
        <w:sz w:val="14"/>
      </w:rPr>
    </w:pPr>
    <w:r>
      <w:tab/>
    </w:r>
    <w:bookmarkStart w:id="3" w:name="bookmark=id.3znysh7" w:colFirst="0" w:colLast="0"/>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960CB" w14:textId="5E7DD152" w:rsidR="006608F7" w:rsidRDefault="00237C10">
    <w:pPr>
      <w:pStyle w:val="Footer"/>
    </w:pPr>
    <w:r>
      <w:rPr>
        <w:noProof/>
      </w:rPr>
      <mc:AlternateContent>
        <mc:Choice Requires="wps">
          <w:drawing>
            <wp:anchor distT="0" distB="0" distL="0" distR="0" simplePos="0" relativeHeight="251658240" behindDoc="0" locked="0" layoutInCell="1" allowOverlap="1" wp14:anchorId="1BD41667" wp14:editId="37F76A64">
              <wp:simplePos x="635" y="635"/>
              <wp:positionH relativeFrom="page">
                <wp:align>left</wp:align>
              </wp:positionH>
              <wp:positionV relativeFrom="page">
                <wp:align>bottom</wp:align>
              </wp:positionV>
              <wp:extent cx="1470025" cy="368935"/>
              <wp:effectExtent l="0" t="0" r="15875" b="0"/>
              <wp:wrapNone/>
              <wp:docPr id="819591870" name="Text Box 1"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68935"/>
                      </a:xfrm>
                      <a:prstGeom prst="rect">
                        <a:avLst/>
                      </a:prstGeom>
                      <a:noFill/>
                      <a:ln>
                        <a:noFill/>
                      </a:ln>
                    </wps:spPr>
                    <wps:txbx>
                      <w:txbxContent>
                        <w:p w14:paraId="350BBFA1" w14:textId="1EC35FBA" w:rsidR="00237C10" w:rsidRPr="00237C10" w:rsidRDefault="00237C10" w:rsidP="00237C10">
                          <w:pPr>
                            <w:spacing w:after="0"/>
                            <w:rPr>
                              <w:noProof/>
                              <w:color w:val="000000"/>
                              <w:sz w:val="20"/>
                              <w:szCs w:val="20"/>
                            </w:rPr>
                          </w:pPr>
                          <w:r w:rsidRPr="00237C10">
                            <w:rPr>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BD41667" id="_x0000_t202" coordsize="21600,21600" o:spt="202" path="m,l,21600r21600,l21600,xe">
              <v:stroke joinstyle="miter"/>
              <v:path gradientshapeok="t" o:connecttype="rect"/>
            </v:shapetype>
            <v:shape id="Text Box 1" o:spid="_x0000_s1028" type="#_x0000_t202" alt="Unrestricted Document" style="position:absolute;margin-left:0;margin-top:0;width:115.75pt;height:29.0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" filled="f" stroked="f">
              <v:textbox style="mso-fit-shape-to-text:t" inset="20pt,0,0,15pt">
                <w:txbxContent>
                  <w:p w14:paraId="350BBFA1" w14:textId="1EC35FBA" w:rsidR="00237C10" w:rsidRPr="00237C10" w:rsidRDefault="00237C10" w:rsidP="00237C10">
                    <w:pPr>
                      <w:spacing w:after="0"/>
                      <w:rPr>
                        <w:noProof/>
                        <w:color w:val="000000"/>
                        <w:sz w:val="20"/>
                        <w:szCs w:val="20"/>
                      </w:rPr>
                    </w:pPr>
                    <w:r w:rsidRPr="00237C10">
                      <w:rPr>
                        <w:noProof/>
                        <w:color w:val="000000"/>
                        <w:sz w:val="20"/>
                        <w:szCs w:val="20"/>
                      </w:rPr>
                      <w:t>Unrestricted Document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E8479" w14:textId="77777777" w:rsidR="0049346F" w:rsidRDefault="0049346F">
      <w:pPr>
        <w:spacing w:after="0" w:line="240" w:lineRule="auto"/>
      </w:pPr>
      <w:r>
        <w:separator/>
      </w:r>
    </w:p>
  </w:footnote>
  <w:footnote w:type="continuationSeparator" w:id="0">
    <w:p w14:paraId="430F1ACA" w14:textId="77777777" w:rsidR="0049346F" w:rsidRDefault="00493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5F802" w14:textId="77777777" w:rsidR="006608F7" w:rsidRDefault="006608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82154" w14:textId="1AE29AF8" w:rsidR="00170089" w:rsidRPr="00D62F6D" w:rsidRDefault="008A6A16" w:rsidP="00170089">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sidRPr="00170089">
      <w:rPr>
        <w:rFonts w:ascii="Arial" w:eastAsia="Arial" w:hAnsi="Arial" w:cs="Arial"/>
        <w:bCs/>
        <w:color w:val="000000"/>
        <w:sz w:val="20"/>
        <w:szCs w:val="20"/>
      </w:rPr>
      <w:t>Schedule 2 (Specification)</w:t>
    </w:r>
    <w:r w:rsidR="00170089">
      <w:rPr>
        <w:rFonts w:ascii="Arial" w:eastAsia="Arial" w:hAnsi="Arial" w:cs="Arial"/>
        <w:bCs/>
        <w:color w:val="000000"/>
        <w:sz w:val="20"/>
        <w:szCs w:val="20"/>
      </w:rPr>
      <w:t xml:space="preserve">, </w:t>
    </w:r>
    <w:r>
      <w:rPr>
        <w:rFonts w:ascii="Arial" w:eastAsia="Arial" w:hAnsi="Arial" w:cs="Arial"/>
        <w:color w:val="000000"/>
        <w:sz w:val="20"/>
        <w:szCs w:val="20"/>
      </w:rPr>
      <w:t>Crown Copyright 20</w:t>
    </w:r>
    <w:r w:rsidR="00227F91">
      <w:rPr>
        <w:rFonts w:ascii="Arial" w:eastAsia="Arial" w:hAnsi="Arial" w:cs="Arial"/>
        <w:color w:val="000000"/>
        <w:sz w:val="20"/>
        <w:szCs w:val="20"/>
      </w:rPr>
      <w:t>2</w:t>
    </w:r>
    <w:r w:rsidR="006608F7">
      <w:rPr>
        <w:rFonts w:ascii="Arial" w:eastAsia="Arial" w:hAnsi="Arial" w:cs="Arial"/>
        <w:color w:val="000000"/>
        <w:sz w:val="20"/>
        <w:szCs w:val="20"/>
      </w:rPr>
      <w:t>5</w:t>
    </w:r>
    <w:r w:rsidR="00170089">
      <w:rPr>
        <w:rFonts w:ascii="Arial" w:eastAsia="Arial" w:hAnsi="Arial" w:cs="Arial"/>
        <w:color w:val="000000"/>
        <w:sz w:val="20"/>
        <w:szCs w:val="20"/>
      </w:rPr>
      <w:t xml:space="preserve"> </w:t>
    </w:r>
    <w:r w:rsidR="00170089" w:rsidRPr="00D62F6D">
      <w:rPr>
        <w:rFonts w:ascii="Arial" w:eastAsia="Arial" w:hAnsi="Arial" w:cs="Arial"/>
        <w:color w:val="000000"/>
        <w:sz w:val="20"/>
        <w:szCs w:val="20"/>
      </w:rPr>
      <w:t>[Subject to Contract]</w:t>
    </w:r>
  </w:p>
  <w:p w14:paraId="00000013" w14:textId="595386D4" w:rsidR="00862D52" w:rsidRDefault="00862D52">
    <w:pPr>
      <w:pBdr>
        <w:top w:val="nil"/>
        <w:left w:val="nil"/>
        <w:bottom w:val="nil"/>
        <w:right w:val="nil"/>
        <w:between w:val="nil"/>
      </w:pBdr>
      <w:tabs>
        <w:tab w:val="center" w:pos="4513"/>
        <w:tab w:val="right" w:pos="9026"/>
      </w:tabs>
      <w:spacing w:after="0" w:line="240" w:lineRule="auto"/>
      <w:rPr>
        <w:rFonts w:ascii="Arial" w:eastAsia="Arial" w:hAnsi="Arial" w:cs="Arial"/>
        <w:b/>
        <w:color w:val="BFBFBF"/>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33B92" w14:textId="77777777" w:rsidR="006608F7" w:rsidRDefault="006608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A741A"/>
    <w:multiLevelType w:val="hybridMultilevel"/>
    <w:tmpl w:val="936AE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B9373F"/>
    <w:multiLevelType w:val="multilevel"/>
    <w:tmpl w:val="6CFEBC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D494AC7"/>
    <w:multiLevelType w:val="hybridMultilevel"/>
    <w:tmpl w:val="FB209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9455F5"/>
    <w:multiLevelType w:val="hybridMultilevel"/>
    <w:tmpl w:val="A6DEF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A4293F"/>
    <w:multiLevelType w:val="hybridMultilevel"/>
    <w:tmpl w:val="31782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D67218"/>
    <w:multiLevelType w:val="hybridMultilevel"/>
    <w:tmpl w:val="95A8C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9B2EDD"/>
    <w:multiLevelType w:val="hybridMultilevel"/>
    <w:tmpl w:val="0B1EC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C365833"/>
    <w:multiLevelType w:val="hybridMultilevel"/>
    <w:tmpl w:val="AC84D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D2360FC"/>
    <w:multiLevelType w:val="hybridMultilevel"/>
    <w:tmpl w:val="C6AC4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9F34D4"/>
    <w:multiLevelType w:val="hybridMultilevel"/>
    <w:tmpl w:val="F064C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4484EF3"/>
    <w:multiLevelType w:val="hybridMultilevel"/>
    <w:tmpl w:val="FA8EC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67C5291"/>
    <w:multiLevelType w:val="multilevel"/>
    <w:tmpl w:val="AF12ED4C"/>
    <w:lvl w:ilvl="0">
      <w:start w:val="1"/>
      <w:numFmt w:val="bullet"/>
      <w:pStyle w:val="GPSL1CLAUSEHEADING"/>
      <w:lvlText w:val="●"/>
      <w:lvlJc w:val="left"/>
      <w:pPr>
        <w:ind w:left="720" w:hanging="360"/>
      </w:pPr>
      <w:rPr>
        <w:rFonts w:ascii="Noto Sans Symbols" w:eastAsia="Noto Sans Symbols" w:hAnsi="Noto Sans Symbols" w:cs="Noto Sans Symbols"/>
        <w:sz w:val="20"/>
        <w:szCs w:val="20"/>
      </w:rPr>
    </w:lvl>
    <w:lvl w:ilvl="1">
      <w:start w:val="1"/>
      <w:numFmt w:val="bullet"/>
      <w:pStyle w:val="GPSL2numberedclause"/>
      <w:lvlText w:val="o"/>
      <w:lvlJc w:val="left"/>
      <w:pPr>
        <w:ind w:left="1440" w:hanging="360"/>
      </w:pPr>
      <w:rPr>
        <w:rFonts w:ascii="Courier New" w:eastAsia="Courier New" w:hAnsi="Courier New" w:cs="Courier New"/>
        <w:sz w:val="20"/>
        <w:szCs w:val="20"/>
      </w:rPr>
    </w:lvl>
    <w:lvl w:ilvl="2">
      <w:start w:val="1"/>
      <w:numFmt w:val="bullet"/>
      <w:pStyle w:val="GPSL3numberedclause"/>
      <w:lvlText w:val="▪"/>
      <w:lvlJc w:val="left"/>
      <w:pPr>
        <w:ind w:left="2160" w:hanging="360"/>
      </w:pPr>
      <w:rPr>
        <w:rFonts w:ascii="Noto Sans Symbols" w:eastAsia="Noto Sans Symbols" w:hAnsi="Noto Sans Symbols" w:cs="Noto Sans Symbols"/>
        <w:sz w:val="20"/>
        <w:szCs w:val="20"/>
      </w:rPr>
    </w:lvl>
    <w:lvl w:ilvl="3">
      <w:start w:val="1"/>
      <w:numFmt w:val="bullet"/>
      <w:pStyle w:val="GPSL4numberedclause"/>
      <w:lvlText w:val="▪"/>
      <w:lvlJc w:val="left"/>
      <w:pPr>
        <w:ind w:left="2880" w:hanging="360"/>
      </w:pPr>
      <w:rPr>
        <w:rFonts w:ascii="Noto Sans Symbols" w:eastAsia="Noto Sans Symbols" w:hAnsi="Noto Sans Symbols" w:cs="Noto Sans Symbols"/>
        <w:sz w:val="20"/>
        <w:szCs w:val="20"/>
      </w:rPr>
    </w:lvl>
    <w:lvl w:ilvl="4">
      <w:start w:val="1"/>
      <w:numFmt w:val="bullet"/>
      <w:pStyle w:val="GPSL5numberedclause"/>
      <w:lvlText w:val="▪"/>
      <w:lvlJc w:val="left"/>
      <w:pPr>
        <w:ind w:left="3600" w:hanging="360"/>
      </w:pPr>
      <w:rPr>
        <w:rFonts w:ascii="Noto Sans Symbols" w:eastAsia="Noto Sans Symbols" w:hAnsi="Noto Sans Symbols" w:cs="Noto Sans Symbols"/>
        <w:sz w:val="20"/>
        <w:szCs w:val="20"/>
      </w:rPr>
    </w:lvl>
    <w:lvl w:ilvl="5">
      <w:start w:val="1"/>
      <w:numFmt w:val="bullet"/>
      <w:pStyle w:val="GPSL6numbered"/>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78E8363A"/>
    <w:multiLevelType w:val="hybridMultilevel"/>
    <w:tmpl w:val="21960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9406941"/>
    <w:multiLevelType w:val="hybridMultilevel"/>
    <w:tmpl w:val="777EB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71187031">
    <w:abstractNumId w:val="11"/>
  </w:num>
  <w:num w:numId="2" w16cid:durableId="132064766">
    <w:abstractNumId w:val="1"/>
  </w:num>
  <w:num w:numId="3" w16cid:durableId="1610116021">
    <w:abstractNumId w:val="8"/>
  </w:num>
  <w:num w:numId="4" w16cid:durableId="563872749">
    <w:abstractNumId w:val="6"/>
  </w:num>
  <w:num w:numId="5" w16cid:durableId="238640030">
    <w:abstractNumId w:val="12"/>
  </w:num>
  <w:num w:numId="6" w16cid:durableId="66652423">
    <w:abstractNumId w:val="0"/>
  </w:num>
  <w:num w:numId="7" w16cid:durableId="70352603">
    <w:abstractNumId w:val="7"/>
  </w:num>
  <w:num w:numId="8" w16cid:durableId="853570531">
    <w:abstractNumId w:val="2"/>
  </w:num>
  <w:num w:numId="9" w16cid:durableId="1798525716">
    <w:abstractNumId w:val="13"/>
  </w:num>
  <w:num w:numId="10" w16cid:durableId="1997026960">
    <w:abstractNumId w:val="9"/>
  </w:num>
  <w:num w:numId="11" w16cid:durableId="1791438917">
    <w:abstractNumId w:val="3"/>
  </w:num>
  <w:num w:numId="12" w16cid:durableId="1028677228">
    <w:abstractNumId w:val="4"/>
  </w:num>
  <w:num w:numId="13" w16cid:durableId="1241527372">
    <w:abstractNumId w:val="10"/>
  </w:num>
  <w:num w:numId="14" w16cid:durableId="20156926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02 (Specification) (Final Review).DOCX"/>
    <w:docVar w:name="gemDN1|Jan.Batey|Monday, 24 July 2023 09:00:35" w:val="V1 - NV, Amend header/footer, Cross refs"/>
    <w:docVar w:name="gemDN2|GAYLEJ|25 July 2023 18:44:43" w:val="V2 - Amend TRK, NV"/>
    <w:docVar w:name="gemDocNotesCount" w:val="2"/>
  </w:docVars>
  <w:rsids>
    <w:rsidRoot w:val="00862D52"/>
    <w:rsid w:val="0000446D"/>
    <w:rsid w:val="000155FE"/>
    <w:rsid w:val="00015847"/>
    <w:rsid w:val="00024D28"/>
    <w:rsid w:val="00057E70"/>
    <w:rsid w:val="00071324"/>
    <w:rsid w:val="0008342B"/>
    <w:rsid w:val="00086132"/>
    <w:rsid w:val="001562CD"/>
    <w:rsid w:val="00170089"/>
    <w:rsid w:val="001A1465"/>
    <w:rsid w:val="001F21B0"/>
    <w:rsid w:val="00200033"/>
    <w:rsid w:val="0021422A"/>
    <w:rsid w:val="00227F91"/>
    <w:rsid w:val="00237C10"/>
    <w:rsid w:val="002435EC"/>
    <w:rsid w:val="00243901"/>
    <w:rsid w:val="002C147B"/>
    <w:rsid w:val="002D6892"/>
    <w:rsid w:val="0038391C"/>
    <w:rsid w:val="00395320"/>
    <w:rsid w:val="003A7444"/>
    <w:rsid w:val="003D3277"/>
    <w:rsid w:val="003E21C6"/>
    <w:rsid w:val="003E3D30"/>
    <w:rsid w:val="0040397F"/>
    <w:rsid w:val="00404236"/>
    <w:rsid w:val="00433FA5"/>
    <w:rsid w:val="004340A6"/>
    <w:rsid w:val="0048597B"/>
    <w:rsid w:val="0049346F"/>
    <w:rsid w:val="004D7E5F"/>
    <w:rsid w:val="00561354"/>
    <w:rsid w:val="00574568"/>
    <w:rsid w:val="005925DA"/>
    <w:rsid w:val="00627EAF"/>
    <w:rsid w:val="00633B7B"/>
    <w:rsid w:val="00647AB5"/>
    <w:rsid w:val="006608F7"/>
    <w:rsid w:val="00694059"/>
    <w:rsid w:val="006A67BB"/>
    <w:rsid w:val="006B71E3"/>
    <w:rsid w:val="007438BE"/>
    <w:rsid w:val="0074394F"/>
    <w:rsid w:val="007905A7"/>
    <w:rsid w:val="007E4856"/>
    <w:rsid w:val="007F13FB"/>
    <w:rsid w:val="007F1CF6"/>
    <w:rsid w:val="00830066"/>
    <w:rsid w:val="00862D52"/>
    <w:rsid w:val="00887A9F"/>
    <w:rsid w:val="008A3C4F"/>
    <w:rsid w:val="008A6A16"/>
    <w:rsid w:val="008B7B08"/>
    <w:rsid w:val="00913C60"/>
    <w:rsid w:val="0095614E"/>
    <w:rsid w:val="009A5F9A"/>
    <w:rsid w:val="00A1498C"/>
    <w:rsid w:val="00A452F3"/>
    <w:rsid w:val="00AA7C59"/>
    <w:rsid w:val="00B870F4"/>
    <w:rsid w:val="00BB76A2"/>
    <w:rsid w:val="00BB7E7D"/>
    <w:rsid w:val="00C35FC8"/>
    <w:rsid w:val="00D02630"/>
    <w:rsid w:val="00D47040"/>
    <w:rsid w:val="00D62F6D"/>
    <w:rsid w:val="00DA6ECE"/>
    <w:rsid w:val="00DA7390"/>
    <w:rsid w:val="00E05E24"/>
    <w:rsid w:val="00E66A70"/>
    <w:rsid w:val="00EB4244"/>
    <w:rsid w:val="00EC3305"/>
    <w:rsid w:val="00FB23C4"/>
    <w:rsid w:val="00FB6C63"/>
    <w:rsid w:val="00FE2F0A"/>
    <w:rsid w:val="0482E3A1"/>
    <w:rsid w:val="0F6C1D4F"/>
    <w:rsid w:val="1C6657B5"/>
    <w:rsid w:val="1F38624B"/>
    <w:rsid w:val="2F741289"/>
    <w:rsid w:val="405473AD"/>
    <w:rsid w:val="40B1E829"/>
    <w:rsid w:val="4117E026"/>
    <w:rsid w:val="42DC14AB"/>
    <w:rsid w:val="4A7BAC08"/>
    <w:rsid w:val="513D6D39"/>
    <w:rsid w:val="5866F2C8"/>
    <w:rsid w:val="59B15D4F"/>
    <w:rsid w:val="61A688FD"/>
    <w:rsid w:val="6812600C"/>
    <w:rsid w:val="722B77BB"/>
    <w:rsid w:val="73963B3A"/>
    <w:rsid w:val="7B907A4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ABA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rsid w:val="006126A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link w:val="Heading5Char"/>
    <w:uiPriority w:val="9"/>
    <w:semiHidden/>
    <w:unhideWhenUsed/>
    <w:qFormat/>
    <w:pPr>
      <w:numPr>
        <w:ilvl w:val="4"/>
        <w:numId w:val="2"/>
      </w:numPr>
      <w:tabs>
        <w:tab w:val="left" w:pos="-5585"/>
      </w:tabs>
      <w:overflowPunct w:val="0"/>
      <w:autoSpaceDE w:val="0"/>
      <w:autoSpaceDN w:val="0"/>
      <w:spacing w:after="120" w:line="240" w:lineRule="auto"/>
      <w:jc w:val="both"/>
      <w:textAlignment w:val="baseline"/>
      <w:outlineLvl w:val="4"/>
    </w:pPr>
    <w:rPr>
      <w:rFonts w:ascii="Arial" w:eastAsia="Times New Roman" w:hAnsi="Arial" w:cs="Times New Roman"/>
    </w:rPr>
  </w:style>
  <w:style w:type="paragraph" w:styleId="Heading6">
    <w:name w:val="heading 6"/>
    <w:basedOn w:val="Heading5"/>
    <w:link w:val="Heading6Char"/>
    <w:uiPriority w:val="9"/>
    <w:semiHidden/>
    <w:unhideWhenUsed/>
    <w:qFormat/>
    <w:pPr>
      <w:numPr>
        <w:ilvl w:val="5"/>
      </w:numPr>
      <w:tabs>
        <w:tab w:val="clear" w:pos="-5585"/>
        <w:tab w:val="left" w:pos="-8987"/>
        <w:tab w:val="left" w:pos="-8420"/>
      </w:tabs>
      <w:outlineLvl w:val="5"/>
    </w:pPr>
  </w:style>
  <w:style w:type="paragraph" w:styleId="Heading7">
    <w:name w:val="heading 7"/>
    <w:basedOn w:val="Heading6"/>
    <w:link w:val="Heading7Char"/>
    <w:pPr>
      <w:numPr>
        <w:ilvl w:val="6"/>
      </w:numPr>
      <w:tabs>
        <w:tab w:val="clear" w:pos="-8987"/>
        <w:tab w:val="clear" w:pos="-8420"/>
        <w:tab w:val="left" w:pos="-10688"/>
        <w:tab w:val="left" w:pos="-9554"/>
      </w:tabs>
      <w:outlineLvl w:val="6"/>
    </w:pPr>
  </w:style>
  <w:style w:type="paragraph" w:styleId="Heading8">
    <w:name w:val="heading 8"/>
    <w:basedOn w:val="Heading7"/>
    <w:link w:val="Heading8Char"/>
    <w:pPr>
      <w:numPr>
        <w:ilvl w:val="7"/>
      </w:numPr>
      <w:tabs>
        <w:tab w:val="clear" w:pos="-9554"/>
        <w:tab w:val="left" w:pos="-12360"/>
        <w:tab w:val="left" w:pos="-9383"/>
      </w:tabs>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ascii="Arial" w:eastAsia="Times New Roman" w:hAnsi="Arial" w:cs="Arial"/>
      <w:color w:val="FFFFFF"/>
      <w:sz w:val="16"/>
      <w:szCs w:val="16"/>
    </w:rPr>
  </w:style>
  <w:style w:type="paragraph" w:customStyle="1" w:styleId="GPSL1CLAUSEHEADING">
    <w:name w:val="GPS L1 CLAUSE HEADING"/>
    <w:basedOn w:val="Normal"/>
    <w:next w:val="Normal"/>
    <w:qFormat/>
    <w:pPr>
      <w:numPr>
        <w:numId w:val="1"/>
      </w:numPr>
      <w:tabs>
        <w:tab w:val="left" w:pos="0"/>
      </w:tabs>
      <w:adjustRightInd w:val="0"/>
      <w:spacing w:before="240" w:after="240" w:line="240" w:lineRule="auto"/>
      <w:jc w:val="both"/>
      <w:outlineLvl w:val="1"/>
    </w:pPr>
    <w:rPr>
      <w:rFonts w:ascii="Arial Bold" w:eastAsia="STZhongsong" w:hAnsi="Arial Bold" w:cs="Arial"/>
      <w:b/>
      <w:caps/>
      <w:lang w:eastAsia="zh-CN"/>
    </w:rPr>
  </w:style>
  <w:style w:type="paragraph" w:customStyle="1" w:styleId="GPSL2numberedclause">
    <w:name w:val="GPS L2 numbered clause"/>
    <w:basedOn w:val="Normal"/>
    <w:link w:val="GPSL2numberedclauseChar1"/>
    <w:qFormat/>
    <w:pPr>
      <w:numPr>
        <w:ilvl w:val="1"/>
        <w:numId w:val="1"/>
      </w:numPr>
      <w:tabs>
        <w:tab w:val="left" w:pos="1134"/>
      </w:tabs>
      <w:adjustRightInd w:val="0"/>
      <w:spacing w:before="120" w:after="120" w:line="240" w:lineRule="auto"/>
      <w:ind w:left="1134" w:hanging="567"/>
      <w:jc w:val="both"/>
    </w:pPr>
    <w:rPr>
      <w:rFonts w:eastAsia="Times New Roman" w:cs="Arial"/>
      <w:lang w:eastAsia="zh-CN"/>
    </w:rPr>
  </w:style>
  <w:style w:type="paragraph" w:customStyle="1" w:styleId="GPSL3numberedclause">
    <w:name w:val="GPS L3 numbered clause"/>
    <w:basedOn w:val="GPSL2numberedclause"/>
    <w:link w:val="GPSL3numberedclauseChar"/>
    <w:qFormat/>
    <w:pPr>
      <w:numPr>
        <w:ilvl w:val="2"/>
      </w:numPr>
      <w:tabs>
        <w:tab w:val="clear" w:pos="1134"/>
        <w:tab w:val="left" w:pos="1985"/>
        <w:tab w:val="left" w:pos="2127"/>
      </w:tabs>
      <w:ind w:left="1985" w:hanging="851"/>
    </w:pPr>
  </w:style>
  <w:style w:type="paragraph" w:customStyle="1" w:styleId="GPSL4numberedclause">
    <w:name w:val="GPS L4 numbered clause"/>
    <w:basedOn w:val="GPSL3numberedclause"/>
    <w:link w:val="GPSL4numberedclauseChar"/>
    <w:qFormat/>
    <w:pPr>
      <w:numPr>
        <w:ilvl w:val="3"/>
      </w:numPr>
      <w:tabs>
        <w:tab w:val="clear" w:pos="2127"/>
        <w:tab w:val="num" w:pos="360"/>
      </w:tabs>
      <w:ind w:left="2835" w:hanging="708"/>
    </w:pPr>
    <w:rPr>
      <w:szCs w:val="20"/>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3numberedclauseChar">
    <w:name w:val="GPS L3 numbered clause Char"/>
    <w:link w:val="GPSL3numberedclause"/>
    <w:rPr>
      <w:rFonts w:ascii="Calibri" w:eastAsia="Times New Roman" w:hAnsi="Calibri" w:cs="Arial"/>
      <w:lang w:eastAsia="zh-CN"/>
    </w:rPr>
  </w:style>
  <w:style w:type="paragraph" w:customStyle="1" w:styleId="GPSL5numberedclause">
    <w:name w:val="GPS L5 numbered clause"/>
    <w:basedOn w:val="GPSL4numberedclause"/>
    <w:link w:val="GPSL5numberedclauseChar"/>
    <w:qFormat/>
    <w:pPr>
      <w:numPr>
        <w:ilvl w:val="4"/>
      </w:numPr>
      <w:tabs>
        <w:tab w:val="num" w:pos="360"/>
        <w:tab w:val="left" w:pos="3402"/>
      </w:tabs>
      <w:ind w:left="3402" w:hanging="567"/>
    </w:pPr>
  </w:style>
  <w:style w:type="paragraph" w:customStyle="1" w:styleId="GPSL6numbered">
    <w:name w:val="GPS L6 numbered"/>
    <w:basedOn w:val="GPSL5numberedclause"/>
    <w:qFormat/>
    <w:pPr>
      <w:numPr>
        <w:ilvl w:val="5"/>
      </w:numPr>
      <w:tabs>
        <w:tab w:val="num" w:pos="360"/>
        <w:tab w:val="left" w:pos="4253"/>
      </w:tabs>
      <w:ind w:left="4253" w:hanging="709"/>
    </w:p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L1SCHEDULEHeading">
    <w:name w:val="GPS L1 SCHEDULE Heading"/>
    <w:basedOn w:val="GPSL1CLAUSEHEADING"/>
    <w:link w:val="GPSL1SCHEDULEHeadingChar"/>
    <w:qFormat/>
    <w:pPr>
      <w:tabs>
        <w:tab w:val="clear" w:pos="0"/>
        <w:tab w:val="left" w:pos="567"/>
      </w:tabs>
      <w:spacing w:before="120"/>
      <w:ind w:left="567" w:hanging="567"/>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character" w:customStyle="1" w:styleId="Heading5Char">
    <w:name w:val="Heading 5 Char"/>
    <w:basedOn w:val="DefaultParagraphFont"/>
    <w:link w:val="Heading5"/>
    <w:rPr>
      <w:rFonts w:ascii="Arial" w:eastAsia="Times New Roman" w:hAnsi="Arial" w:cs="Times New Roman"/>
    </w:rPr>
  </w:style>
  <w:style w:type="character" w:customStyle="1" w:styleId="Heading6Char">
    <w:name w:val="Heading 6 Char"/>
    <w:basedOn w:val="DefaultParagraphFont"/>
    <w:link w:val="Heading6"/>
    <w:rPr>
      <w:rFonts w:ascii="Arial" w:eastAsia="Times New Roman" w:hAnsi="Arial" w:cs="Times New Roman"/>
    </w:rPr>
  </w:style>
  <w:style w:type="character" w:customStyle="1" w:styleId="Heading7Char">
    <w:name w:val="Heading 7 Char"/>
    <w:basedOn w:val="DefaultParagraphFont"/>
    <w:link w:val="Heading7"/>
    <w:rPr>
      <w:rFonts w:ascii="Arial" w:eastAsia="Times New Roman" w:hAnsi="Arial" w:cs="Times New Roman"/>
    </w:rPr>
  </w:style>
  <w:style w:type="character" w:customStyle="1" w:styleId="Heading8Char">
    <w:name w:val="Heading 8 Char"/>
    <w:basedOn w:val="DefaultParagraphFont"/>
    <w:link w:val="Heading8"/>
    <w:rPr>
      <w:rFonts w:ascii="Arial" w:eastAsia="Times New Roman" w:hAnsi="Arial" w:cs="Times New Roman"/>
    </w:rPr>
  </w:style>
  <w:style w:type="numbering" w:customStyle="1" w:styleId="WWOutlineListStyle8">
    <w:name w:val="WW_OutlineListStyle_8"/>
    <w:basedOn w:val="NoList"/>
  </w:style>
  <w:style w:type="paragraph" w:styleId="ListParagraph">
    <w:name w:val="List Paragraph"/>
    <w:basedOn w:val="Normal"/>
    <w:pPr>
      <w:suppressAutoHyphens/>
      <w:autoSpaceDN w:val="0"/>
      <w:ind w:left="720"/>
      <w:textAlignment w:val="baseline"/>
    </w:pPr>
    <w:rPr>
      <w:rFonts w:cs="Times New Roman"/>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pPr>
      <w:suppressAutoHyphens/>
      <w:autoSpaceDN w:val="0"/>
      <w:spacing w:line="240" w:lineRule="auto"/>
      <w:textAlignment w:val="baseline"/>
    </w:pPr>
    <w:rPr>
      <w:rFonts w:cs="Times New Roman"/>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MarginText">
    <w:name w:val="Margin Text"/>
    <w:basedOn w:val="Normal"/>
    <w:link w:val="MarginTextChar"/>
    <w:pPr>
      <w:keepNext/>
      <w:adjustRightInd w:val="0"/>
      <w:spacing w:before="240" w:after="120" w:line="240" w:lineRule="auto"/>
      <w:ind w:left="142"/>
      <w:jc w:val="both"/>
    </w:pPr>
    <w:rPr>
      <w:rFonts w:eastAsia="STZhongsong"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2NumberedBoldHeading">
    <w:name w:val="GPS L2 Numbered Bold Heading"/>
    <w:basedOn w:val="Normal"/>
    <w:link w:val="GPSL2NumberedBoldHeadingChar"/>
    <w:qFormat/>
    <w:pPr>
      <w:tabs>
        <w:tab w:val="left" w:pos="1134"/>
      </w:tabs>
      <w:adjustRightInd w:val="0"/>
      <w:spacing w:before="120" w:after="120" w:line="240" w:lineRule="auto"/>
      <w:ind w:left="644" w:hanging="218"/>
      <w:jc w:val="both"/>
    </w:pPr>
    <w:rPr>
      <w:rFonts w:eastAsia="Times New Roman" w:cs="Arial"/>
      <w:b/>
      <w:lang w:eastAsia="zh-CN"/>
    </w:rPr>
  </w:style>
  <w:style w:type="paragraph" w:customStyle="1" w:styleId="GPSL2Guidance">
    <w:name w:val="GPS L2 Guidance"/>
    <w:basedOn w:val="Normal"/>
    <w:link w:val="GPSL2GuidanceChar"/>
    <w:qFormat/>
    <w:pPr>
      <w:tabs>
        <w:tab w:val="left" w:pos="1134"/>
      </w:tabs>
      <w:adjustRightInd w:val="0"/>
      <w:spacing w:before="120" w:after="120" w:line="240" w:lineRule="auto"/>
      <w:ind w:left="1134"/>
      <w:jc w:val="both"/>
    </w:pPr>
    <w:rPr>
      <w:rFonts w:eastAsia="Times New Roman" w:cs="Arial"/>
      <w:b/>
      <w:i/>
      <w:lang w:eastAsia="zh-CN"/>
    </w:rPr>
  </w:style>
  <w:style w:type="paragraph" w:customStyle="1" w:styleId="GPSSchPart">
    <w:name w:val="GPS Sch Part"/>
    <w:basedOn w:val="Normal"/>
    <w:link w:val="GPSSchPartChar"/>
    <w:qFormat/>
    <w:pPr>
      <w:keepNext/>
      <w:adjustRightInd w:val="0"/>
      <w:spacing w:before="240" w:after="240" w:line="240" w:lineRule="auto"/>
      <w:ind w:firstLine="426"/>
      <w:jc w:val="center"/>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left" w:pos="709"/>
      </w:tabs>
      <w:ind w:hanging="360"/>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2GuidanceChar">
    <w:name w:val="GPS L2 Guidance Char"/>
    <w:link w:val="GPSL2Guidance"/>
    <w:rPr>
      <w:rFonts w:ascii="Calibri" w:eastAsia="Times New Roman" w:hAnsi="Calibri" w:cs="Arial"/>
      <w:b/>
      <w:i/>
      <w:lang w:eastAsia="zh-CN"/>
    </w:rPr>
  </w:style>
  <w:style w:type="character" w:customStyle="1" w:styleId="GPSSchPartChar">
    <w:name w:val="GPS Sch Part Char"/>
    <w:link w:val="GPSSchPart"/>
    <w:rPr>
      <w:rFonts w:ascii="Arial Bold" w:eastAsia="STZhongsong" w:hAnsi="Arial Bold" w:cs="Times New Roman"/>
      <w:b/>
      <w:caps/>
      <w:lang w:eastAsia="zh-CN"/>
    </w:rPr>
  </w:style>
  <w:style w:type="character" w:customStyle="1" w:styleId="GPSL4numberedclauseChar">
    <w:name w:val="GPS L4 numbered clause Char"/>
    <w:link w:val="GPSL4numberedclause"/>
    <w:locked/>
    <w:rPr>
      <w:rFonts w:ascii="Calibri" w:eastAsia="Times New Roman" w:hAnsi="Calibri" w:cs="Arial"/>
      <w:szCs w:val="20"/>
      <w:lang w:eastAsia="zh-CN"/>
    </w:rPr>
  </w:style>
  <w:style w:type="character" w:customStyle="1" w:styleId="GPSL5numberedclauseChar">
    <w:name w:val="GPS L5 numbered clause Char"/>
    <w:link w:val="GPSL5numberedclause"/>
    <w:locked/>
    <w:rPr>
      <w:rFonts w:ascii="Calibri" w:eastAsia="Times New Roman" w:hAnsi="Calibri" w:cs="Arial"/>
      <w:szCs w:val="20"/>
      <w:lang w:eastAsia="zh-CN"/>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paragraph" w:customStyle="1" w:styleId="GPSL1Guidance">
    <w:name w:val="GPS L1 Guidance"/>
    <w:basedOn w:val="Normal"/>
    <w:link w:val="GPSL1GuidanceChar"/>
    <w:qFormat/>
    <w:pPr>
      <w:overflowPunct w:val="0"/>
      <w:autoSpaceDE w:val="0"/>
      <w:autoSpaceDN w:val="0"/>
      <w:adjustRightInd w:val="0"/>
      <w:spacing w:before="240" w:after="120" w:line="240" w:lineRule="auto"/>
      <w:ind w:left="426"/>
      <w:jc w:val="both"/>
      <w:textAlignment w:val="baseline"/>
    </w:pPr>
    <w:rPr>
      <w:rFonts w:eastAsia="Times New Roman" w:cs="Arial"/>
      <w:b/>
      <w:i/>
    </w:rPr>
  </w:style>
  <w:style w:type="paragraph" w:customStyle="1" w:styleId="GPSL3Guidance">
    <w:name w:val="GPS L3 Guidance"/>
    <w:basedOn w:val="GPSL3numberedclause"/>
    <w:link w:val="GPSL3GuidanceChar"/>
    <w:qFormat/>
    <w:pPr>
      <w:numPr>
        <w:ilvl w:val="0"/>
        <w:numId w:val="0"/>
      </w:numPr>
      <w:tabs>
        <w:tab w:val="clear" w:pos="2127"/>
      </w:tabs>
      <w:ind w:left="1985"/>
    </w:pPr>
    <w:rPr>
      <w:b/>
      <w:i/>
    </w:rPr>
  </w:style>
  <w:style w:type="paragraph" w:customStyle="1" w:styleId="GPSL4Guidance">
    <w:name w:val="GPS L4 Guidance"/>
    <w:basedOn w:val="GPSL3Guidance"/>
    <w:link w:val="GPSL4GuidanceChar"/>
    <w:qFormat/>
  </w:style>
  <w:style w:type="character" w:customStyle="1" w:styleId="GPSL4GuidanceChar">
    <w:name w:val="GPS L4 Guidance Char"/>
    <w:link w:val="GPSL4Guidance"/>
    <w:locked/>
    <w:rPr>
      <w:rFonts w:ascii="Calibri" w:eastAsia="Times New Roman" w:hAnsi="Calibri" w:cs="Arial"/>
      <w:b/>
      <w:i/>
      <w:lang w:eastAsia="zh-CN"/>
    </w:rPr>
  </w:style>
  <w:style w:type="character" w:customStyle="1" w:styleId="GPSL1GuidanceChar">
    <w:name w:val="GPS L1 Guidance Char"/>
    <w:link w:val="GPSL1Guidance"/>
    <w:locked/>
    <w:rPr>
      <w:rFonts w:ascii="Calibri" w:eastAsia="Times New Roman" w:hAnsi="Calibri" w:cs="Arial"/>
      <w:b/>
      <w:i/>
    </w:rPr>
  </w:style>
  <w:style w:type="character" w:customStyle="1" w:styleId="GPSL3GuidanceChar">
    <w:name w:val="GPS L3 Guidance Char"/>
    <w:link w:val="GPSL3Guidance"/>
    <w:rPr>
      <w:rFonts w:ascii="Calibri" w:eastAsia="Times New Roman" w:hAnsi="Calibri" w:cs="Arial"/>
      <w:b/>
      <w:i/>
      <w:lang w:eastAsia="zh-CN"/>
    </w:rPr>
  </w:style>
  <w:style w:type="paragraph" w:styleId="CommentSubject">
    <w:name w:val="annotation subject"/>
    <w:basedOn w:val="CommentText"/>
    <w:next w:val="CommentText"/>
    <w:link w:val="CommentSubjectChar"/>
    <w:uiPriority w:val="99"/>
    <w:semiHidden/>
    <w:unhideWhenUsed/>
    <w:pPr>
      <w:suppressAutoHyphens w:val="0"/>
      <w:autoSpaceDN/>
      <w:textAlignment w:val="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Revision">
    <w:name w:val="Revision"/>
    <w:hidden/>
    <w:uiPriority w:val="99"/>
    <w:semiHidden/>
    <w:pPr>
      <w:spacing w:after="0" w:line="240" w:lineRule="auto"/>
    </w:pPr>
  </w:style>
  <w:style w:type="paragraph" w:customStyle="1" w:styleId="Normal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sz w:val="20"/>
      <w:szCs w:val="20"/>
      <w:lang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6126A6"/>
    <w:rPr>
      <w:rFonts w:asciiTheme="majorHAnsi" w:eastAsiaTheme="majorEastAsia" w:hAnsiTheme="majorHAnsi" w:cstheme="majorBidi"/>
      <w:color w:val="365F91" w:themeColor="accent1" w:themeShade="BF"/>
      <w:sz w:val="26"/>
      <w:szCs w:val="26"/>
    </w:rPr>
  </w:style>
  <w:style w:type="table" w:customStyle="1" w:styleId="4">
    <w:name w:val="4"/>
    <w:basedOn w:val="TableNormal"/>
    <w:rsid w:val="006126A6"/>
    <w:pPr>
      <w:pBdr>
        <w:top w:val="nil"/>
        <w:left w:val="nil"/>
        <w:bottom w:val="nil"/>
        <w:right w:val="nil"/>
        <w:between w:val="nil"/>
      </w:pBdr>
      <w:spacing w:after="0" w:line="240" w:lineRule="auto"/>
      <w:ind w:left="-30"/>
    </w:pPr>
    <w:rPr>
      <w:rFonts w:ascii="Arial" w:eastAsia="Arial" w:hAnsi="Arial" w:cs="Arial"/>
      <w:color w:val="000000"/>
      <w:sz w:val="24"/>
      <w:szCs w:val="24"/>
      <w:lang w:eastAsia="en-GB"/>
    </w:rPr>
    <w:tblPr>
      <w:tblStyleRowBandSize w:val="1"/>
      <w:tblStyleColBandSize w:val="1"/>
      <w:tblCellMar>
        <w:top w:w="100" w:type="dxa"/>
        <w:left w:w="100" w:type="dxa"/>
        <w:bottom w:w="100" w:type="dxa"/>
        <w:right w:w="10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D62F6D"/>
    <w:rPr>
      <w:color w:val="0000FF" w:themeColor="hyperlink"/>
      <w:u w:val="single"/>
    </w:rPr>
  </w:style>
  <w:style w:type="character" w:customStyle="1" w:styleId="UnresolvedMention1">
    <w:name w:val="Unresolved Mention1"/>
    <w:basedOn w:val="DefaultParagraphFont"/>
    <w:uiPriority w:val="99"/>
    <w:semiHidden/>
    <w:unhideWhenUsed/>
    <w:rsid w:val="00D62F6D"/>
    <w:rPr>
      <w:color w:val="605E5C"/>
      <w:shd w:val="clear" w:color="auto" w:fill="E1DFDD"/>
    </w:rPr>
  </w:style>
  <w:style w:type="paragraph" w:customStyle="1" w:styleId="BodyText1">
    <w:name w:val="Body Text1"/>
    <w:basedOn w:val="Normal"/>
    <w:qFormat/>
    <w:rsid w:val="00AA7C59"/>
    <w:pPr>
      <w:pBdr>
        <w:top w:val="nil"/>
        <w:left w:val="nil"/>
        <w:bottom w:val="nil"/>
        <w:right w:val="nil"/>
        <w:between w:val="nil"/>
      </w:pBdr>
      <w:suppressAutoHyphens/>
      <w:spacing w:after="240" w:line="240" w:lineRule="auto"/>
    </w:pPr>
    <w:rPr>
      <w:rFonts w:asciiTheme="minorHAnsi" w:eastAsia="Helvetica Neue Light" w:hAnsiTheme="minorHAnsi" w:cs="Helvetica Neue Light"/>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kaJ7UrwJJQAJTqAUW9jv0/Eg+Pw==">AMUW2mXY1vftPF+dII45uIe3zXSRKpU7Fsv1ZZZN2HwyKxA6rMzWekmwVUINrzfhBnFuq9NXCI+hjP/6bzREBjlWHWY5O6zIMaFgGsJcSDjntnlI+zniMTTMJy4UKK1V1RDHEufkkCniwMS/Jdk1Hq95JHcKAse65FYmzkEwcj9+81E15+V3IIE=</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5139A-2B5F-4277-9CBB-CA5D70D2C5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ac767-3006-48e0-b89a-3208f6fd0e59"/>
    <ds:schemaRef ds:uri="ee7f6635-0c65-459d-902b-80a23c582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E0119B-19D4-46A3-B215-6D0E937B4E95}">
  <ds:schemaRefs>
    <ds:schemaRef ds:uri="http://schemas.microsoft.com/office/2006/metadata/properties"/>
    <ds:schemaRef ds:uri="http://schemas.microsoft.com/office/infopath/2007/PartnerControls"/>
    <ds:schemaRef ds:uri="b89ac767-3006-48e0-b89a-3208f6fd0e59"/>
    <ds:schemaRef ds:uri="ee7f6635-0c65-459d-902b-80a23c582fa6"/>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398476D-73BC-46B9-B209-795CBBF2DB9A}">
  <ds:schemaRefs>
    <ds:schemaRef ds:uri="http://schemas.microsoft.com/sharepoint/v3/contenttype/forms"/>
  </ds:schemaRefs>
</ds:datastoreItem>
</file>

<file path=customXml/itemProps5.xml><?xml version="1.0" encoding="utf-8"?>
<ds:datastoreItem xmlns:ds="http://schemas.openxmlformats.org/officeDocument/2006/customXml" ds:itemID="{482EAA21-9A34-46E5-B119-122CB137A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1022</Words>
  <Characters>5826</Characters>
  <Application>Microsoft Office Word</Application>
  <DocSecurity>0</DocSecurity>
  <PresentationFormat/>
  <Lines>48</Lines>
  <Paragraphs>13</Paragraphs>
  <ScaleCrop>false</ScaleCrop>
  <Manager/>
  <Company/>
  <LinksUpToDate>false</LinksUpToDate>
  <CharactersWithSpaces>6835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3</cp:revision>
  <dcterms:created xsi:type="dcterms:W3CDTF">2025-01-16T14:57:00Z</dcterms:created>
  <dcterms:modified xsi:type="dcterms:W3CDTF">2025-06-18T11:02:00Z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92852264-1</vt:lpwstr>
  </property>
  <property fmtid="{D5CDD505-2E9C-101B-9397-08002B2CF9AE}" pid="3" name="ContentTypeId">
    <vt:lpwstr>0x010100C961977D22144940BE614E77C8D36CCF</vt:lpwstr>
  </property>
  <property fmtid="{D5CDD505-2E9C-101B-9397-08002B2CF9AE}" pid="4" name="MediaServiceImageTags">
    <vt:lpwstr/>
  </property>
  <property fmtid="{D5CDD505-2E9C-101B-9397-08002B2CF9AE}" pid="5" name="ClassificationContentMarkingFooterShapeIds">
    <vt:lpwstr>30d9fabe,21753ed4,66505f2e</vt:lpwstr>
  </property>
  <property fmtid="{D5CDD505-2E9C-101B-9397-08002B2CF9AE}" pid="6" name="ClassificationContentMarkingFooterFontProps">
    <vt:lpwstr>#000000,10,Calibri</vt:lpwstr>
  </property>
  <property fmtid="{D5CDD505-2E9C-101B-9397-08002B2CF9AE}" pid="7" name="ClassificationContentMarkingFooterText">
    <vt:lpwstr>Unrestricted Document</vt:lpwstr>
  </property>
  <property fmtid="{D5CDD505-2E9C-101B-9397-08002B2CF9AE}" pid="8" name="MSIP_Label_04c8c431-0d04-444c-8584-488befb681e4_Enabled">
    <vt:lpwstr>true</vt:lpwstr>
  </property>
  <property fmtid="{D5CDD505-2E9C-101B-9397-08002B2CF9AE}" pid="9" name="MSIP_Label_04c8c431-0d04-444c-8584-488befb681e4_SetDate">
    <vt:lpwstr>2025-02-26T12:49:08Z</vt:lpwstr>
  </property>
  <property fmtid="{D5CDD505-2E9C-101B-9397-08002B2CF9AE}" pid="10" name="MSIP_Label_04c8c431-0d04-444c-8584-488befb681e4_Method">
    <vt:lpwstr>Standard</vt:lpwstr>
  </property>
  <property fmtid="{D5CDD505-2E9C-101B-9397-08002B2CF9AE}" pid="11" name="MSIP_Label_04c8c431-0d04-444c-8584-488befb681e4_Name">
    <vt:lpwstr>Unrestricted</vt:lpwstr>
  </property>
  <property fmtid="{D5CDD505-2E9C-101B-9397-08002B2CF9AE}" pid="12" name="MSIP_Label_04c8c431-0d04-444c-8584-488befb681e4_SiteId">
    <vt:lpwstr>060db25a-21a5-44fa-9aeb-55b64ef85350</vt:lpwstr>
  </property>
  <property fmtid="{D5CDD505-2E9C-101B-9397-08002B2CF9AE}" pid="13" name="MSIP_Label_04c8c431-0d04-444c-8584-488befb681e4_ActionId">
    <vt:lpwstr>f8b5f641-e423-41d8-9a3c-72cdad6fdaa1</vt:lpwstr>
  </property>
  <property fmtid="{D5CDD505-2E9C-101B-9397-08002B2CF9AE}" pid="14" name="MSIP_Label_04c8c431-0d04-444c-8584-488befb681e4_ContentBits">
    <vt:lpwstr>2</vt:lpwstr>
  </property>
  <property fmtid="{D5CDD505-2E9C-101B-9397-08002B2CF9AE}" pid="15" name="MSIP_Label_04c8c431-0d04-444c-8584-488befb681e4_Tag">
    <vt:lpwstr>10, 3, 0, 1</vt:lpwstr>
  </property>
  <property fmtid="{D5CDD505-2E9C-101B-9397-08002B2CF9AE}" pid="16" name="GrammarlyDocumentId">
    <vt:lpwstr>0b73a7d7-cf65-4c44-a945-e3a5782ec46d</vt:lpwstr>
  </property>
</Properties>
</file>